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0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05"/>
        <w:gridCol w:w="220"/>
        <w:gridCol w:w="342"/>
        <w:gridCol w:w="733"/>
        <w:gridCol w:w="714"/>
        <w:gridCol w:w="118"/>
        <w:gridCol w:w="242"/>
        <w:gridCol w:w="145"/>
        <w:gridCol w:w="448"/>
        <w:gridCol w:w="9"/>
        <w:gridCol w:w="23"/>
        <w:gridCol w:w="229"/>
        <w:gridCol w:w="252"/>
        <w:gridCol w:w="293"/>
        <w:gridCol w:w="188"/>
        <w:gridCol w:w="218"/>
        <w:gridCol w:w="259"/>
        <w:gridCol w:w="135"/>
        <w:gridCol w:w="339"/>
        <w:gridCol w:w="318"/>
        <w:gridCol w:w="99"/>
        <w:gridCol w:w="45"/>
        <w:gridCol w:w="86"/>
        <w:gridCol w:w="348"/>
        <w:gridCol w:w="240"/>
        <w:gridCol w:w="193"/>
        <w:gridCol w:w="730"/>
        <w:gridCol w:w="91"/>
        <w:gridCol w:w="1646"/>
      </w:tblGrid>
      <w:tr w:rsidR="006A701A" w:rsidRPr="008B4FE6" w14:paraId="64501E08" w14:textId="77777777" w:rsidTr="00B753DA">
        <w:trPr>
          <w:trHeight w:val="1611"/>
        </w:trPr>
        <w:tc>
          <w:tcPr>
            <w:tcW w:w="7530" w:type="dxa"/>
            <w:gridSpan w:val="20"/>
          </w:tcPr>
          <w:p w14:paraId="6EC2DAFA" w14:textId="19F01083" w:rsidR="006A701A" w:rsidRPr="008B4FE6" w:rsidRDefault="006A701A" w:rsidP="00DE3780">
            <w:pPr>
              <w:spacing w:before="120" w:line="240" w:lineRule="auto"/>
              <w:ind w:hanging="45"/>
              <w:rPr>
                <w:rFonts w:ascii="Times New Roman" w:hAnsi="Times New Roman"/>
                <w:color w:val="000000"/>
              </w:rPr>
            </w:pPr>
            <w:bookmarkStart w:id="0" w:name="t1"/>
            <w:r w:rsidRPr="008B4FE6">
              <w:rPr>
                <w:rFonts w:ascii="Times New Roman" w:hAnsi="Times New Roman"/>
                <w:b/>
                <w:color w:val="000000"/>
              </w:rPr>
              <w:t xml:space="preserve">Nazwa </w:t>
            </w:r>
            <w:r w:rsidR="001B75D8">
              <w:rPr>
                <w:rFonts w:ascii="Times New Roman" w:hAnsi="Times New Roman"/>
                <w:b/>
                <w:color w:val="000000"/>
              </w:rPr>
              <w:t>projektu</w:t>
            </w:r>
          </w:p>
          <w:p w14:paraId="4457AC18" w14:textId="77777777" w:rsidR="006A701A" w:rsidRPr="008B4FE6" w:rsidRDefault="008F1A5B" w:rsidP="00B43F0A">
            <w:pPr>
              <w:spacing w:after="60" w:line="240" w:lineRule="auto"/>
              <w:ind w:left="-34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Projekt </w:t>
            </w:r>
            <w:r w:rsidR="00AB7873">
              <w:rPr>
                <w:rFonts w:ascii="Times New Roman" w:hAnsi="Times New Roman"/>
                <w:color w:val="000000"/>
              </w:rPr>
              <w:t xml:space="preserve">rozporządzenia Ministra Sprawiedliwości </w:t>
            </w:r>
            <w:r w:rsidR="00AB7873" w:rsidRPr="00AB7873">
              <w:rPr>
                <w:rFonts w:ascii="Times New Roman" w:hAnsi="Times New Roman"/>
                <w:color w:val="000000"/>
              </w:rPr>
              <w:t>w sprawie określenia trybu i sposobu wnoszenia pism procesowych w postaci elektronicznej za pośrednictwem portalu informacyjnego</w:t>
            </w:r>
            <w:r w:rsidR="00DD78D9">
              <w:rPr>
                <w:rFonts w:ascii="Times New Roman" w:hAnsi="Times New Roman"/>
                <w:color w:val="000000"/>
              </w:rPr>
              <w:t xml:space="preserve"> w postępowaniu karnym</w:t>
            </w:r>
          </w:p>
          <w:p w14:paraId="7271F78C" w14:textId="77777777" w:rsidR="006A701A" w:rsidRPr="008B4FE6" w:rsidRDefault="006A701A" w:rsidP="00DE3780">
            <w:pPr>
              <w:spacing w:before="120" w:line="240" w:lineRule="auto"/>
              <w:ind w:hanging="45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Ministerstwo wiodące i ministerstwa współpracujące</w:t>
            </w:r>
          </w:p>
          <w:bookmarkEnd w:id="0"/>
          <w:p w14:paraId="1932A61B" w14:textId="77777777" w:rsidR="006A701A" w:rsidRDefault="008F1A5B" w:rsidP="0040080A">
            <w:pPr>
              <w:spacing w:after="60" w:line="240" w:lineRule="auto"/>
              <w:ind w:hanging="34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Ministerstwo Sprawiedliwości</w:t>
            </w:r>
          </w:p>
          <w:p w14:paraId="471B112E" w14:textId="77777777" w:rsidR="00B753DA" w:rsidRDefault="00B753DA" w:rsidP="0040080A">
            <w:pPr>
              <w:spacing w:after="60" w:line="240" w:lineRule="auto"/>
              <w:ind w:hanging="34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Ministerstwo Cyfryzacji</w:t>
            </w:r>
          </w:p>
          <w:p w14:paraId="746EF477" w14:textId="77777777" w:rsidR="001B3460" w:rsidRDefault="001B3460" w:rsidP="00DE3780">
            <w:pPr>
              <w:spacing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642825">
              <w:rPr>
                <w:rFonts w:ascii="Times New Roman" w:hAnsi="Times New Roman"/>
                <w:b/>
                <w:sz w:val="21"/>
                <w:szCs w:val="24"/>
              </w:rPr>
              <w:t>Osoba odpowiedzialna za projekt w randze Ministra, Sekretarza Stanu lub Podsekretarza Stanu</w:t>
            </w:r>
            <w:r w:rsidRPr="00642825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</w:p>
          <w:p w14:paraId="5FA56281" w14:textId="77777777" w:rsidR="00174125" w:rsidRPr="00653ED8" w:rsidRDefault="00174125" w:rsidP="00DE3780">
            <w:pPr>
              <w:spacing w:line="240" w:lineRule="auto"/>
              <w:rPr>
                <w:rFonts w:ascii="Times New Roman" w:hAnsi="Times New Roman"/>
                <w:bCs/>
                <w:u w:val="single"/>
              </w:rPr>
            </w:pPr>
            <w:r w:rsidRPr="00653ED8">
              <w:rPr>
                <w:rFonts w:ascii="Times New Roman" w:hAnsi="Times New Roman"/>
                <w:bCs/>
                <w:u w:val="single"/>
              </w:rPr>
              <w:t>pod względem legislacyjnym i merytorycznym:</w:t>
            </w:r>
          </w:p>
          <w:p w14:paraId="66C0D0A5" w14:textId="77777777" w:rsidR="001B3460" w:rsidRPr="00653ED8" w:rsidRDefault="00FF1751" w:rsidP="00DE3780">
            <w:pPr>
              <w:spacing w:line="240" w:lineRule="auto"/>
              <w:rPr>
                <w:rFonts w:ascii="Times New Roman" w:hAnsi="Times New Roman"/>
              </w:rPr>
            </w:pPr>
            <w:r w:rsidRPr="00653ED8">
              <w:rPr>
                <w:rFonts w:ascii="Times New Roman" w:hAnsi="Times New Roman"/>
              </w:rPr>
              <w:t>Arkadiusz Myrcha, Sekretarz Stanu w Ministerstwie Sprawiedliwości</w:t>
            </w:r>
          </w:p>
          <w:p w14:paraId="0E11255B" w14:textId="77777777" w:rsidR="006A701A" w:rsidRPr="008B4FE6" w:rsidRDefault="006A701A" w:rsidP="00DE3780">
            <w:pPr>
              <w:spacing w:before="120" w:line="240" w:lineRule="auto"/>
              <w:ind w:hanging="45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Kontakt do opiekuna merytorycznego projektu</w:t>
            </w:r>
          </w:p>
          <w:p w14:paraId="42D2DE9D" w14:textId="77777777" w:rsidR="00FF1751" w:rsidRPr="00FF1751" w:rsidRDefault="00FF1751" w:rsidP="00DE3780">
            <w:pPr>
              <w:spacing w:line="240" w:lineRule="auto"/>
              <w:ind w:hanging="45"/>
              <w:rPr>
                <w:rFonts w:ascii="Times New Roman" w:hAnsi="Times New Roman"/>
                <w:color w:val="000000"/>
                <w:u w:val="single"/>
              </w:rPr>
            </w:pPr>
            <w:r w:rsidRPr="00FF1751">
              <w:rPr>
                <w:rFonts w:ascii="Times New Roman" w:hAnsi="Times New Roman"/>
                <w:color w:val="000000"/>
                <w:u w:val="single"/>
              </w:rPr>
              <w:t>opiekun legislacyjny:</w:t>
            </w:r>
          </w:p>
          <w:p w14:paraId="2EB2FC9C" w14:textId="77777777" w:rsidR="00FF1751" w:rsidRPr="00FF1751" w:rsidRDefault="00FF1751" w:rsidP="005321F8">
            <w:pPr>
              <w:spacing w:line="240" w:lineRule="auto"/>
              <w:ind w:hanging="45"/>
              <w:rPr>
                <w:rFonts w:ascii="Times New Roman" w:hAnsi="Times New Roman"/>
                <w:color w:val="000000"/>
              </w:rPr>
            </w:pPr>
            <w:r w:rsidRPr="00FF1751">
              <w:rPr>
                <w:rFonts w:ascii="Times New Roman" w:hAnsi="Times New Roman"/>
                <w:color w:val="000000"/>
              </w:rPr>
              <w:t>Monika Walewska, Zastępca Dyrektora Departamentu Legislacyjnego</w:t>
            </w:r>
          </w:p>
          <w:p w14:paraId="2391C2C4" w14:textId="77777777" w:rsidR="006A701A" w:rsidRPr="004F2C48" w:rsidRDefault="00FF1751" w:rsidP="0040080A">
            <w:pPr>
              <w:spacing w:after="60" w:line="240" w:lineRule="auto"/>
              <w:ind w:hanging="34"/>
              <w:rPr>
                <w:rFonts w:ascii="Times New Roman" w:hAnsi="Times New Roman"/>
                <w:color w:val="000000"/>
                <w:lang w:val="en-GB"/>
              </w:rPr>
            </w:pPr>
            <w:r w:rsidRPr="004F2C48">
              <w:rPr>
                <w:rFonts w:ascii="Times New Roman" w:hAnsi="Times New Roman"/>
                <w:color w:val="000000"/>
                <w:lang w:val="en-GB"/>
              </w:rPr>
              <w:t xml:space="preserve">e-mail: sekretariat.dl@ms.gov.pl; tel. 22 52 </w:t>
            </w:r>
            <w:r w:rsidR="001C6278" w:rsidRPr="001C6278">
              <w:rPr>
                <w:rFonts w:ascii="Times New Roman" w:hAnsi="Times New Roman"/>
                <w:color w:val="000000"/>
                <w:lang w:val="en-GB"/>
              </w:rPr>
              <w:t>12 764.</w:t>
            </w:r>
          </w:p>
          <w:p w14:paraId="29E9A7BB" w14:textId="58CB6758" w:rsidR="00FF1751" w:rsidRPr="00FF1751" w:rsidRDefault="00DD78D9" w:rsidP="00DE3780">
            <w:pPr>
              <w:spacing w:line="240" w:lineRule="auto"/>
              <w:ind w:hanging="34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Agnieszka Bargiel</w:t>
            </w:r>
            <w:r w:rsidR="00FF1751" w:rsidRPr="00FF1751">
              <w:rPr>
                <w:rFonts w:ascii="Times New Roman" w:hAnsi="Times New Roman"/>
                <w:color w:val="000000"/>
              </w:rPr>
              <w:t>, Główny Specjalista</w:t>
            </w:r>
          </w:p>
          <w:p w14:paraId="03D47233" w14:textId="3B58B752" w:rsidR="00FF1751" w:rsidRPr="004F2C48" w:rsidRDefault="00FF1751" w:rsidP="0040080A">
            <w:pPr>
              <w:spacing w:after="60" w:line="240" w:lineRule="auto"/>
              <w:ind w:hanging="34"/>
              <w:rPr>
                <w:rFonts w:ascii="Times New Roman" w:hAnsi="Times New Roman"/>
                <w:color w:val="000000"/>
                <w:lang w:val="en-GB"/>
              </w:rPr>
            </w:pPr>
            <w:r w:rsidRPr="004F2C48">
              <w:rPr>
                <w:rFonts w:ascii="Times New Roman" w:hAnsi="Times New Roman"/>
                <w:color w:val="000000"/>
                <w:lang w:val="en-GB"/>
              </w:rPr>
              <w:t xml:space="preserve">email: </w:t>
            </w:r>
            <w:r w:rsidR="00DD78D9">
              <w:rPr>
                <w:rFonts w:ascii="Times New Roman" w:hAnsi="Times New Roman"/>
                <w:color w:val="000000"/>
                <w:lang w:val="en-GB"/>
              </w:rPr>
              <w:t>Agnieszka</w:t>
            </w:r>
            <w:r w:rsidR="00AB7873" w:rsidRPr="004F2C48">
              <w:rPr>
                <w:rFonts w:ascii="Times New Roman" w:hAnsi="Times New Roman"/>
                <w:color w:val="000000"/>
                <w:lang w:val="en-GB"/>
              </w:rPr>
              <w:t>.</w:t>
            </w:r>
            <w:r w:rsidR="00DD78D9">
              <w:rPr>
                <w:rFonts w:ascii="Times New Roman" w:hAnsi="Times New Roman"/>
                <w:color w:val="000000"/>
                <w:lang w:val="en-GB"/>
              </w:rPr>
              <w:t>Bargiel</w:t>
            </w:r>
            <w:r w:rsidRPr="004F2C48">
              <w:rPr>
                <w:rFonts w:ascii="Times New Roman" w:hAnsi="Times New Roman"/>
                <w:color w:val="000000"/>
                <w:lang w:val="en-GB"/>
              </w:rPr>
              <w:t xml:space="preserve">@ms.gov.pl; tel. </w:t>
            </w:r>
            <w:r w:rsidR="00DD78D9" w:rsidRPr="00DA3F2D">
              <w:rPr>
                <w:rFonts w:ascii="Times New Roman" w:hAnsi="Times New Roman"/>
                <w:color w:val="000000"/>
              </w:rPr>
              <w:t xml:space="preserve">22 52 12 </w:t>
            </w:r>
            <w:r w:rsidR="00DD78D9" w:rsidRPr="00DD78D9">
              <w:rPr>
                <w:rFonts w:ascii="Times New Roman" w:hAnsi="Times New Roman"/>
                <w:color w:val="000000"/>
              </w:rPr>
              <w:t>734</w:t>
            </w:r>
            <w:r w:rsidR="001C6278" w:rsidRPr="001C6278">
              <w:rPr>
                <w:rFonts w:ascii="Times New Roman" w:hAnsi="Times New Roman"/>
                <w:color w:val="000000"/>
                <w:lang w:val="en-GB"/>
              </w:rPr>
              <w:t>.</w:t>
            </w:r>
          </w:p>
          <w:p w14:paraId="082DCA06" w14:textId="77777777" w:rsidR="00F41E2A" w:rsidRPr="001D1B73" w:rsidRDefault="00F41E2A" w:rsidP="00DE3780">
            <w:pPr>
              <w:spacing w:line="240" w:lineRule="auto"/>
              <w:ind w:hanging="34"/>
              <w:rPr>
                <w:rFonts w:ascii="Times New Roman" w:hAnsi="Times New Roman"/>
                <w:color w:val="000000"/>
                <w:u w:val="single"/>
              </w:rPr>
            </w:pPr>
            <w:r w:rsidRPr="001D1B73">
              <w:rPr>
                <w:rFonts w:ascii="Times New Roman" w:hAnsi="Times New Roman"/>
                <w:color w:val="000000"/>
                <w:u w:val="single"/>
              </w:rPr>
              <w:t>opiekun merytoryczny:</w:t>
            </w:r>
          </w:p>
          <w:p w14:paraId="5FAC0432" w14:textId="77777777" w:rsidR="00F41E2A" w:rsidRPr="00F41E2A" w:rsidRDefault="008D2F37" w:rsidP="00DE3780">
            <w:pPr>
              <w:spacing w:line="240" w:lineRule="auto"/>
              <w:ind w:hanging="34"/>
              <w:rPr>
                <w:rFonts w:ascii="Times New Roman" w:hAnsi="Times New Roman"/>
                <w:color w:val="000000"/>
              </w:rPr>
            </w:pPr>
            <w:r w:rsidRPr="008D2F37">
              <w:rPr>
                <w:rFonts w:ascii="Times New Roman" w:hAnsi="Times New Roman"/>
                <w:color w:val="000000"/>
              </w:rPr>
              <w:t xml:space="preserve">Adam </w:t>
            </w:r>
            <w:r w:rsidR="001C6278" w:rsidRPr="008D2F37">
              <w:rPr>
                <w:rFonts w:ascii="Times New Roman" w:hAnsi="Times New Roman"/>
                <w:color w:val="000000"/>
              </w:rPr>
              <w:t>Synakiewicz,</w:t>
            </w:r>
            <w:r w:rsidR="00F41E2A" w:rsidRPr="00F41E2A">
              <w:rPr>
                <w:rFonts w:ascii="Times New Roman" w:hAnsi="Times New Roman"/>
                <w:color w:val="000000"/>
              </w:rPr>
              <w:t xml:space="preserve"> Dyrektor Departamentu Prawa Karnego</w:t>
            </w:r>
          </w:p>
          <w:p w14:paraId="6529DEF5" w14:textId="77777777" w:rsidR="00F41E2A" w:rsidRPr="004F2C48" w:rsidRDefault="00F41E2A" w:rsidP="00DE3780">
            <w:pPr>
              <w:spacing w:line="240" w:lineRule="auto"/>
              <w:ind w:hanging="34"/>
              <w:rPr>
                <w:rFonts w:ascii="Times New Roman" w:hAnsi="Times New Roman"/>
                <w:color w:val="000000"/>
                <w:lang w:val="en-GB"/>
              </w:rPr>
            </w:pPr>
            <w:r w:rsidRPr="004F2C48">
              <w:rPr>
                <w:rFonts w:ascii="Times New Roman" w:hAnsi="Times New Roman"/>
                <w:color w:val="000000"/>
                <w:lang w:val="en-GB"/>
              </w:rPr>
              <w:t>email: sekretariat.dpk@ms.gov.pl; tel. 22 52 12 645</w:t>
            </w:r>
          </w:p>
        </w:tc>
        <w:tc>
          <w:tcPr>
            <w:tcW w:w="3478" w:type="dxa"/>
            <w:gridSpan w:val="9"/>
            <w:shd w:val="clear" w:color="auto" w:fill="FFFFFF"/>
          </w:tcPr>
          <w:p w14:paraId="125B5352" w14:textId="1F117C1D" w:rsidR="001B3460" w:rsidRPr="00642825" w:rsidRDefault="001B3460" w:rsidP="00DE3780">
            <w:pPr>
              <w:spacing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642825">
              <w:rPr>
                <w:rFonts w:ascii="Times New Roman" w:hAnsi="Times New Roman"/>
                <w:b/>
                <w:sz w:val="21"/>
                <w:szCs w:val="21"/>
              </w:rPr>
              <w:t>Data sporządzenia</w:t>
            </w:r>
            <w:r w:rsidRPr="00642825">
              <w:rPr>
                <w:rFonts w:ascii="Times New Roman" w:hAnsi="Times New Roman"/>
                <w:b/>
                <w:sz w:val="21"/>
                <w:szCs w:val="21"/>
              </w:rPr>
              <w:br/>
            </w:r>
            <w:r w:rsidR="00DD78D9">
              <w:rPr>
                <w:rFonts w:ascii="Times New Roman" w:hAnsi="Times New Roman"/>
                <w:sz w:val="21"/>
                <w:szCs w:val="21"/>
              </w:rPr>
              <w:t>19</w:t>
            </w:r>
            <w:r w:rsidR="00B43F0A">
              <w:rPr>
                <w:rFonts w:ascii="Times New Roman" w:hAnsi="Times New Roman"/>
                <w:sz w:val="21"/>
                <w:szCs w:val="21"/>
              </w:rPr>
              <w:t>.</w:t>
            </w:r>
            <w:r w:rsidR="00DD78D9">
              <w:rPr>
                <w:rFonts w:ascii="Times New Roman" w:hAnsi="Times New Roman"/>
                <w:sz w:val="21"/>
                <w:szCs w:val="21"/>
              </w:rPr>
              <w:t>01</w:t>
            </w:r>
            <w:r w:rsidR="008F1A5B">
              <w:rPr>
                <w:rFonts w:ascii="Times New Roman" w:hAnsi="Times New Roman"/>
                <w:sz w:val="21"/>
                <w:szCs w:val="21"/>
              </w:rPr>
              <w:t>.</w:t>
            </w:r>
            <w:r w:rsidR="00DD78D9">
              <w:rPr>
                <w:rFonts w:ascii="Times New Roman" w:hAnsi="Times New Roman"/>
                <w:sz w:val="21"/>
                <w:szCs w:val="21"/>
              </w:rPr>
              <w:t xml:space="preserve">2026 </w:t>
            </w:r>
            <w:r w:rsidR="008F1A5B">
              <w:rPr>
                <w:rFonts w:ascii="Times New Roman" w:hAnsi="Times New Roman"/>
                <w:sz w:val="21"/>
                <w:szCs w:val="21"/>
              </w:rPr>
              <w:t>r.</w:t>
            </w:r>
          </w:p>
          <w:p w14:paraId="54981CFF" w14:textId="77777777" w:rsidR="00F76884" w:rsidRDefault="00F76884" w:rsidP="00DE3780">
            <w:pPr>
              <w:spacing w:line="240" w:lineRule="auto"/>
              <w:rPr>
                <w:rFonts w:ascii="Times New Roman" w:hAnsi="Times New Roman"/>
                <w:b/>
              </w:rPr>
            </w:pPr>
          </w:p>
          <w:p w14:paraId="6A9D42EB" w14:textId="77777777" w:rsidR="00F76884" w:rsidRPr="0065019F" w:rsidRDefault="00F76884" w:rsidP="00DE3780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65019F">
              <w:rPr>
                <w:rFonts w:ascii="Times New Roman" w:hAnsi="Times New Roman"/>
                <w:b/>
              </w:rPr>
              <w:t xml:space="preserve">Źródło: </w:t>
            </w:r>
            <w:bookmarkStart w:id="1" w:name="Lista1"/>
          </w:p>
          <w:bookmarkEnd w:id="1"/>
          <w:p w14:paraId="2E1D1ADF" w14:textId="77777777" w:rsidR="00F76884" w:rsidRPr="0065019F" w:rsidRDefault="00B753DA" w:rsidP="00DE3780">
            <w:pPr>
              <w:spacing w:line="240" w:lineRule="auto"/>
              <w:rPr>
                <w:rFonts w:ascii="Times New Roman" w:hAnsi="Times New Roman"/>
              </w:rPr>
            </w:pPr>
            <w:r w:rsidRPr="00B753DA">
              <w:rPr>
                <w:rFonts w:ascii="Times New Roman" w:hAnsi="Times New Roman"/>
              </w:rPr>
              <w:t>art. 119 § 4 ustawy z dnia 6 czerwca 1997 r. – Kodeks postępowania karnego (Dz. U. z 2025 r. poz. 46</w:t>
            </w:r>
            <w:r w:rsidR="005A3EE9">
              <w:rPr>
                <w:rFonts w:ascii="Times New Roman" w:hAnsi="Times New Roman"/>
              </w:rPr>
              <w:t>, z późn. zm.</w:t>
            </w:r>
            <w:r w:rsidRPr="00B753DA">
              <w:rPr>
                <w:rFonts w:ascii="Times New Roman" w:hAnsi="Times New Roman"/>
              </w:rPr>
              <w:t>)</w:t>
            </w:r>
          </w:p>
          <w:p w14:paraId="2D9CAD43" w14:textId="77777777" w:rsidR="006A701A" w:rsidRDefault="006A701A" w:rsidP="00DE3780">
            <w:pPr>
              <w:spacing w:before="120" w:line="240" w:lineRule="auto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Nr </w:t>
            </w:r>
            <w:r w:rsidR="0057668E">
              <w:rPr>
                <w:rFonts w:ascii="Times New Roman" w:hAnsi="Times New Roman"/>
                <w:b/>
                <w:color w:val="000000"/>
              </w:rPr>
              <w:t>w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wykaz</w:t>
            </w:r>
            <w:r w:rsidR="0057668E">
              <w:rPr>
                <w:rFonts w:ascii="Times New Roman" w:hAnsi="Times New Roman"/>
                <w:b/>
                <w:color w:val="000000"/>
              </w:rPr>
              <w:t>ie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prac </w:t>
            </w:r>
          </w:p>
          <w:p w14:paraId="6EAFAB6B" w14:textId="77777777" w:rsidR="00DD78D9" w:rsidRPr="008B4FE6" w:rsidRDefault="00DD78D9" w:rsidP="00DE3780">
            <w:pPr>
              <w:spacing w:before="12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</w:rPr>
              <w:t>A544</w:t>
            </w:r>
          </w:p>
        </w:tc>
      </w:tr>
      <w:tr w:rsidR="006A701A" w:rsidRPr="0022687A" w14:paraId="52AE7D50" w14:textId="77777777" w:rsidTr="00B753DA">
        <w:trPr>
          <w:trHeight w:val="283"/>
        </w:trPr>
        <w:tc>
          <w:tcPr>
            <w:tcW w:w="11008" w:type="dxa"/>
            <w:gridSpan w:val="29"/>
            <w:shd w:val="clear" w:color="auto" w:fill="99CCFF"/>
            <w:vAlign w:val="center"/>
          </w:tcPr>
          <w:p w14:paraId="709D03FA" w14:textId="77777777" w:rsidR="006A701A" w:rsidRPr="00627221" w:rsidRDefault="006A701A" w:rsidP="003A646B">
            <w:pPr>
              <w:ind w:left="57"/>
              <w:jc w:val="center"/>
              <w:rPr>
                <w:rFonts w:ascii="Times New Roman" w:hAnsi="Times New Roman"/>
                <w:b/>
                <w:color w:val="FFFFFF"/>
                <w:sz w:val="32"/>
                <w:szCs w:val="32"/>
              </w:rPr>
            </w:pPr>
            <w:r w:rsidRPr="00627221">
              <w:rPr>
                <w:rFonts w:ascii="Times New Roman" w:hAnsi="Times New Roman"/>
                <w:b/>
                <w:color w:val="FFFFFF"/>
                <w:sz w:val="32"/>
                <w:szCs w:val="32"/>
              </w:rPr>
              <w:t>OCENA SKUTKÓW REGULACJI</w:t>
            </w:r>
          </w:p>
        </w:tc>
      </w:tr>
      <w:tr w:rsidR="006A701A" w:rsidRPr="008B4FE6" w14:paraId="24E03FF8" w14:textId="77777777" w:rsidTr="00B753DA">
        <w:trPr>
          <w:trHeight w:val="333"/>
        </w:trPr>
        <w:tc>
          <w:tcPr>
            <w:tcW w:w="11008" w:type="dxa"/>
            <w:gridSpan w:val="29"/>
            <w:shd w:val="clear" w:color="auto" w:fill="99CCFF"/>
            <w:vAlign w:val="center"/>
          </w:tcPr>
          <w:p w14:paraId="0B0A4AB2" w14:textId="77777777" w:rsidR="006A701A" w:rsidRPr="008B4FE6" w:rsidRDefault="003D12F6">
            <w:pPr>
              <w:numPr>
                <w:ilvl w:val="0"/>
                <w:numId w:val="1"/>
              </w:numPr>
              <w:spacing w:before="60" w:after="60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812C7">
              <w:rPr>
                <w:rFonts w:ascii="Times New Roman" w:hAnsi="Times New Roman"/>
                <w:b/>
              </w:rPr>
              <w:t xml:space="preserve">Jaki problem jest </w:t>
            </w:r>
            <w:r w:rsidR="00CC6305" w:rsidRPr="001812C7">
              <w:rPr>
                <w:rFonts w:ascii="Times New Roman" w:hAnsi="Times New Roman"/>
                <w:b/>
              </w:rPr>
              <w:t>rozwiązywany</w:t>
            </w:r>
            <w:r w:rsidR="00CC6305">
              <w:rPr>
                <w:rFonts w:ascii="Times New Roman" w:hAnsi="Times New Roman"/>
                <w:b/>
              </w:rPr>
              <w:t>?</w:t>
            </w:r>
            <w:bookmarkStart w:id="2" w:name="Wybór1"/>
            <w:bookmarkEnd w:id="2"/>
          </w:p>
        </w:tc>
      </w:tr>
      <w:tr w:rsidR="006A701A" w:rsidRPr="008B4FE6" w14:paraId="1641906D" w14:textId="77777777" w:rsidTr="00B753DA">
        <w:trPr>
          <w:trHeight w:val="142"/>
        </w:trPr>
        <w:tc>
          <w:tcPr>
            <w:tcW w:w="11008" w:type="dxa"/>
            <w:gridSpan w:val="29"/>
            <w:shd w:val="clear" w:color="auto" w:fill="FFFFFF"/>
          </w:tcPr>
          <w:p w14:paraId="4A02D480" w14:textId="4FF2185E" w:rsidR="00713265" w:rsidRPr="00713265" w:rsidRDefault="00713265" w:rsidP="00713265">
            <w:pPr>
              <w:spacing w:before="120" w:after="120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713265">
              <w:rPr>
                <w:rFonts w:ascii="Times New Roman" w:hAnsi="Times New Roman"/>
                <w:color w:val="000000"/>
                <w:spacing w:val="-2"/>
              </w:rPr>
              <w:t>Projektowane rozporządzenie stanowi wykonanie delegacji ustawowej zawartej w art. 119 § 4</w:t>
            </w:r>
            <w:r w:rsidRPr="00713265">
              <w:rPr>
                <w:rFonts w:ascii="Times New Roman" w:hAnsi="Times New Roman"/>
                <w:color w:val="000000"/>
                <w:spacing w:val="-2"/>
              </w:rPr>
              <w:t xml:space="preserve"> ustawy z dnia 6 czerwca 1997 r. – Kodeks postępowania karnego (Dz. U. z 2025 r. poz. 46, z późn. zm</w:t>
            </w:r>
            <w:r w:rsidRPr="00713265">
              <w:rPr>
                <w:rFonts w:ascii="Times New Roman" w:hAnsi="Times New Roman"/>
                <w:color w:val="000000"/>
                <w:spacing w:val="-2"/>
              </w:rPr>
              <w:t>.), dalej „k.p.k.”, w brzmieniu nadanym ustawą z dnia 9 lipca 2025 r. o zmianie ustawy – Kodeks postępowania karnego oraz niektórych innych ustaw (Dz. U. poz. 1178), zgodnie z którym Minister Sprawiedliwości, w porozumieniu z ministrem właściwym do spraw informatyzacji, został zobowiązany do określenia, w drodze rozporządzenia, trybu i sposobu wnoszenia pism procesowych za pośrednictwem portalu informacyjnego, mając na względzie skuteczność ich wnoszenia, konieczność zapewnienia sprawnego toku postępowania, a także ochronę praw osób wnoszących pisma.</w:t>
            </w:r>
          </w:p>
          <w:p w14:paraId="699F104F" w14:textId="6F3AF645" w:rsidR="00105B9A" w:rsidRPr="00105B9A" w:rsidRDefault="00713265" w:rsidP="00BC12DC">
            <w:pPr>
              <w:spacing w:before="120" w:after="120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713265">
              <w:rPr>
                <w:rFonts w:ascii="Times New Roman" w:hAnsi="Times New Roman"/>
                <w:color w:val="000000"/>
                <w:spacing w:val="-2"/>
              </w:rPr>
              <w:t xml:space="preserve">Konieczność wydania przedmiotowego rozporządzenia jest konsekwencją dodania art. 116a § 1 k.p.k., zgodnie z którym, jeżeli przepis ustawy tak stanowi, pisma można wnosić poprzez umieszczenie ich w portalu informacyjnym, o którym mowa w art. </w:t>
            </w:r>
            <w:r w:rsidRPr="00713265">
              <w:rPr>
                <w:rFonts w:ascii="Times New Roman" w:hAnsi="Times New Roman"/>
                <w:color w:val="000000"/>
                <w:spacing w:val="-2"/>
              </w:rPr>
              <w:t>53e § 1 ustawy z dnia 27 lipca 2001 r. – Prawo o ustroju sądów powszechnych (Dz. U. z 2024 r. poz. 334, z późn. zm</w:t>
            </w:r>
            <w:r w:rsidRPr="00713265">
              <w:rPr>
                <w:rFonts w:ascii="Times New Roman" w:hAnsi="Times New Roman"/>
                <w:color w:val="000000"/>
                <w:spacing w:val="-2"/>
              </w:rPr>
              <w:t>.), dalej u.s.p., w sposób umożliwiający uzyskanie przez wnoszącego pismo dokumentu elektronicznego potwierdzającego wniesienie pisma do sądu.</w:t>
            </w:r>
          </w:p>
        </w:tc>
      </w:tr>
      <w:tr w:rsidR="006A701A" w:rsidRPr="008B4FE6" w14:paraId="166E0C0D" w14:textId="77777777" w:rsidTr="00B753DA">
        <w:trPr>
          <w:trHeight w:val="142"/>
        </w:trPr>
        <w:tc>
          <w:tcPr>
            <w:tcW w:w="11008" w:type="dxa"/>
            <w:gridSpan w:val="29"/>
            <w:shd w:val="clear" w:color="auto" w:fill="99CCFF"/>
            <w:vAlign w:val="center"/>
          </w:tcPr>
          <w:p w14:paraId="6C4E6463" w14:textId="77777777" w:rsidR="006A701A" w:rsidRPr="008B4FE6" w:rsidRDefault="0013216E">
            <w:pPr>
              <w:numPr>
                <w:ilvl w:val="0"/>
                <w:numId w:val="1"/>
              </w:numPr>
              <w:spacing w:before="60" w:after="60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>Rekomendowane rozwiązanie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w tym planowane narzędzia </w:t>
            </w:r>
            <w:r w:rsidR="001C6278" w:rsidRPr="001A5FDA">
              <w:rPr>
                <w:rFonts w:ascii="Times New Roman" w:hAnsi="Times New Roman"/>
                <w:b/>
                <w:color w:val="000000"/>
                <w:spacing w:val="-2"/>
              </w:rPr>
              <w:t>interwencji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i oczekiwany efekt</w:t>
            </w:r>
          </w:p>
        </w:tc>
      </w:tr>
      <w:tr w:rsidR="006A701A" w:rsidRPr="008B4FE6" w14:paraId="71FAFA08" w14:textId="77777777" w:rsidTr="00B753DA">
        <w:trPr>
          <w:trHeight w:val="142"/>
        </w:trPr>
        <w:tc>
          <w:tcPr>
            <w:tcW w:w="11008" w:type="dxa"/>
            <w:gridSpan w:val="29"/>
          </w:tcPr>
          <w:p w14:paraId="16D0F95C" w14:textId="65844A97" w:rsidR="00713265" w:rsidRDefault="00713265" w:rsidP="00DA3F2D">
            <w:pPr>
              <w:spacing w:after="120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713265">
              <w:rPr>
                <w:rFonts w:ascii="Times New Roman" w:hAnsi="Times New Roman"/>
                <w:color w:val="000000"/>
                <w:spacing w:val="-2"/>
              </w:rPr>
              <w:t>W projektowanym § 1 rozporządzenia określono przedmiot aktu zgodnie z upoważnieniem ustawowym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. </w:t>
            </w:r>
          </w:p>
          <w:p w14:paraId="69FAFF75" w14:textId="344172DB" w:rsidR="00A65E3B" w:rsidRDefault="00713265" w:rsidP="00A65E3B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W projektowanym </w:t>
            </w:r>
            <w:r w:rsidR="00C02252">
              <w:rPr>
                <w:rFonts w:ascii="Times New Roman" w:hAnsi="Times New Roman"/>
                <w:color w:val="000000"/>
                <w:spacing w:val="-2"/>
              </w:rPr>
              <w:t xml:space="preserve">§ 2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rozporządzenia </w:t>
            </w:r>
            <w:r w:rsidRPr="00713265">
              <w:rPr>
                <w:rFonts w:ascii="Times New Roman" w:hAnsi="Times New Roman"/>
                <w:color w:val="000000"/>
                <w:spacing w:val="-2"/>
              </w:rPr>
              <w:t xml:space="preserve">zawarto </w:t>
            </w:r>
            <w:r>
              <w:rPr>
                <w:rFonts w:ascii="Times New Roman" w:hAnsi="Times New Roman"/>
                <w:color w:val="000000"/>
                <w:spacing w:val="-2"/>
              </w:rPr>
              <w:t>definicje</w:t>
            </w:r>
            <w:r w:rsidRPr="00713265">
              <w:rPr>
                <w:rFonts w:ascii="Times New Roman" w:hAnsi="Times New Roman"/>
                <w:color w:val="000000"/>
                <w:spacing w:val="-2"/>
              </w:rPr>
              <w:t xml:space="preserve"> użytych w rozporządzeniu określeń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tj.:</w:t>
            </w:r>
          </w:p>
          <w:p w14:paraId="5D271ED1" w14:textId="728EC14D" w:rsidR="00713265" w:rsidRDefault="00713265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data wniesienia pisma</w:t>
            </w:r>
          </w:p>
          <w:p w14:paraId="40D626AC" w14:textId="77777777" w:rsidR="00C02252" w:rsidRDefault="00713265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elektroniczne potwierdzenie odbioru</w:t>
            </w:r>
            <w:r w:rsidR="00C02252">
              <w:rPr>
                <w:rFonts w:ascii="Times New Roman" w:hAnsi="Times New Roman"/>
                <w:color w:val="000000"/>
                <w:spacing w:val="-2"/>
              </w:rPr>
              <w:t>,</w:t>
            </w:r>
          </w:p>
          <w:p w14:paraId="729659CA" w14:textId="77777777" w:rsidR="00C02252" w:rsidRDefault="00713265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konto</w:t>
            </w:r>
            <w:r w:rsidR="00C02252">
              <w:rPr>
                <w:rFonts w:ascii="Times New Roman" w:hAnsi="Times New Roman"/>
                <w:color w:val="000000"/>
                <w:spacing w:val="-2"/>
              </w:rPr>
              <w:t>,</w:t>
            </w:r>
          </w:p>
          <w:p w14:paraId="0CFF9B43" w14:textId="77777777" w:rsidR="00713265" w:rsidRDefault="00713265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metadane,</w:t>
            </w:r>
          </w:p>
          <w:p w14:paraId="44F41D00" w14:textId="77777777" w:rsidR="00713265" w:rsidRDefault="00713265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metryka pisma,</w:t>
            </w:r>
          </w:p>
          <w:p w14:paraId="640963A9" w14:textId="699AA1B4" w:rsidR="00713265" w:rsidRDefault="00713265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sumy kontrolne,</w:t>
            </w:r>
          </w:p>
          <w:p w14:paraId="5741425B" w14:textId="77777777" w:rsidR="00713265" w:rsidRDefault="00713265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uwierzytelnienie,</w:t>
            </w:r>
          </w:p>
          <w:p w14:paraId="7D9B6F7A" w14:textId="77777777" w:rsidR="00713265" w:rsidRDefault="00713265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użytkownik konta,</w:t>
            </w:r>
          </w:p>
          <w:p w14:paraId="4F109407" w14:textId="77777777" w:rsidR="00713265" w:rsidRDefault="00713265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właściciel konta,</w:t>
            </w:r>
          </w:p>
          <w:p w14:paraId="4A0BC25C" w14:textId="77777777" w:rsidR="00713265" w:rsidRDefault="00713265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wniesienie pisma,</w:t>
            </w:r>
          </w:p>
          <w:p w14:paraId="402C19E4" w14:textId="0AAE9C9D" w:rsidR="00713265" w:rsidRDefault="00713265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wnoszący pismo,</w:t>
            </w:r>
          </w:p>
          <w:p w14:paraId="76EA0AD4" w14:textId="77777777" w:rsidR="00713265" w:rsidRDefault="00713265" w:rsidP="00DA3F2D">
            <w:pPr>
              <w:numPr>
                <w:ilvl w:val="0"/>
                <w:numId w:val="2"/>
              </w:numPr>
              <w:spacing w:after="120"/>
              <w:ind w:left="714" w:hanging="357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lastRenderedPageBreak/>
              <w:t>wysyłający pismo.</w:t>
            </w:r>
          </w:p>
          <w:p w14:paraId="0BAE6067" w14:textId="589D4695" w:rsidR="00713265" w:rsidRPr="00713265" w:rsidRDefault="00713265" w:rsidP="00713265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W projektowanym </w:t>
            </w:r>
            <w:r w:rsidR="00C02252">
              <w:rPr>
                <w:rFonts w:ascii="Times New Roman" w:hAnsi="Times New Roman"/>
                <w:color w:val="000000"/>
                <w:spacing w:val="-2"/>
              </w:rPr>
              <w:t xml:space="preserve">§ 3 </w:t>
            </w:r>
            <w:r>
              <w:rPr>
                <w:rFonts w:ascii="Times New Roman" w:hAnsi="Times New Roman"/>
                <w:color w:val="000000"/>
                <w:spacing w:val="-2"/>
              </w:rPr>
              <w:t>rozporządzeni</w:t>
            </w:r>
            <w:r w:rsidR="00DA3F2D">
              <w:rPr>
                <w:rFonts w:ascii="Times New Roman" w:hAnsi="Times New Roman"/>
                <w:color w:val="000000"/>
                <w:spacing w:val="-2"/>
              </w:rPr>
              <w:t>a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713265">
              <w:rPr>
                <w:rFonts w:ascii="Times New Roman" w:hAnsi="Times New Roman"/>
                <w:color w:val="000000"/>
                <w:spacing w:val="-2"/>
              </w:rPr>
              <w:t>ustanowiono procedurę wnoszenia pism procesowych za pośrednictwem portalu informacyjnego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713265">
              <w:rPr>
                <w:rFonts w:ascii="Times New Roman" w:hAnsi="Times New Roman"/>
                <w:color w:val="000000"/>
                <w:spacing w:val="-2"/>
              </w:rPr>
              <w:t>przez wskazanie, że w tym celu należy:</w:t>
            </w:r>
          </w:p>
          <w:p w14:paraId="3BB50CC9" w14:textId="72A0D9B4" w:rsidR="00713265" w:rsidRPr="00713265" w:rsidRDefault="00713265" w:rsidP="00DA3F2D">
            <w:pPr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713265">
              <w:rPr>
                <w:rFonts w:ascii="Times New Roman" w:hAnsi="Times New Roman"/>
                <w:color w:val="000000"/>
                <w:spacing w:val="-2"/>
              </w:rPr>
              <w:t>dokonać uwierzytelnienia (a zatem potwierdzić swoją tożsamość w portalu informacyjnym);</w:t>
            </w:r>
          </w:p>
          <w:p w14:paraId="2BB84BCB" w14:textId="5AD5C13A" w:rsidR="00713265" w:rsidRPr="00713265" w:rsidRDefault="00713265" w:rsidP="00DA3F2D">
            <w:pPr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713265">
              <w:rPr>
                <w:rFonts w:ascii="Times New Roman" w:hAnsi="Times New Roman"/>
                <w:color w:val="000000"/>
                <w:spacing w:val="-2"/>
              </w:rPr>
              <w:t>oznaczyć rodzaj pisma procesowego poprzez dokonanie wyboru z listy rozwijanej w portalu informacyjnym;</w:t>
            </w:r>
          </w:p>
          <w:p w14:paraId="58407D3E" w14:textId="4F284831" w:rsidR="00713265" w:rsidRPr="00713265" w:rsidRDefault="00713265" w:rsidP="00DA3F2D">
            <w:pPr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713265">
              <w:rPr>
                <w:rFonts w:ascii="Times New Roman" w:hAnsi="Times New Roman"/>
                <w:color w:val="000000"/>
                <w:spacing w:val="-2"/>
              </w:rPr>
              <w:t xml:space="preserve">wypełnić metrykę pisma albo zatwierdzić metrykę pisma wygenerowaną automatycznie na podstawie danych pochodzących z portalu informacyjnego – w zależności od dostępnej opcji na koncie użytkownika portalu informacyjnego; </w:t>
            </w:r>
          </w:p>
          <w:p w14:paraId="3D118CD7" w14:textId="0C7E3AC5" w:rsidR="00713265" w:rsidRPr="00713265" w:rsidRDefault="00713265" w:rsidP="00DA3F2D">
            <w:pPr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713265">
              <w:rPr>
                <w:rFonts w:ascii="Times New Roman" w:hAnsi="Times New Roman"/>
                <w:color w:val="000000"/>
                <w:spacing w:val="-2"/>
              </w:rPr>
              <w:t>umieścić pismo procesowe w module „Biuro Podawcze" w portalu informacyjnym;</w:t>
            </w:r>
          </w:p>
          <w:p w14:paraId="6554DB5C" w14:textId="062FDAFF" w:rsidR="00713265" w:rsidRPr="00713265" w:rsidRDefault="00713265" w:rsidP="00DA3F2D">
            <w:pPr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713265">
              <w:rPr>
                <w:rFonts w:ascii="Times New Roman" w:hAnsi="Times New Roman"/>
                <w:color w:val="000000"/>
                <w:spacing w:val="-2"/>
              </w:rPr>
              <w:t>dołączyć załączniki, o ile są one wnoszone, z zachowaniem zgodności pomiędzy numeracją i nazewnictwem załączników w piśmie procesowym oraz w portalu informacyjnym;</w:t>
            </w:r>
          </w:p>
          <w:p w14:paraId="03704EAA" w14:textId="60D05635" w:rsidR="00713265" w:rsidRPr="00713265" w:rsidRDefault="00713265" w:rsidP="00DA3F2D">
            <w:pPr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713265">
              <w:rPr>
                <w:rFonts w:ascii="Times New Roman" w:hAnsi="Times New Roman"/>
                <w:color w:val="000000"/>
                <w:spacing w:val="-2"/>
              </w:rPr>
              <w:t>opatrzyć pismo procesowe kwalifikowanym podpisem elektronicznym, podpisem zaufanym albo podpisem osobistym, a w przypadku prokuratora – także zaawansowanym podpisem elektronicznym wydawanym przez właściwe jednostki organizacyjne prokuratury, jeśli nie zostały podpisane takimi  podpisami przed ich umieszczeniem w portalu informacyjnym;</w:t>
            </w:r>
          </w:p>
          <w:p w14:paraId="06867500" w14:textId="629CB74D" w:rsidR="00713265" w:rsidRPr="00713265" w:rsidRDefault="00713265" w:rsidP="00DA3F2D">
            <w:pPr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713265">
              <w:rPr>
                <w:rFonts w:ascii="Times New Roman" w:hAnsi="Times New Roman"/>
                <w:color w:val="000000"/>
                <w:spacing w:val="-2"/>
              </w:rPr>
              <w:t>poświadczyć wybrane dokumenty kwalifikowanym podpisem elektronicznym, podpisem zaufanym albo podpisem osobistym, jeśli nie zostały poświadczone w ten sposób przed ich umieszczeniem w portalu informacyjnym;</w:t>
            </w:r>
          </w:p>
          <w:p w14:paraId="6F433F0A" w14:textId="3131003B" w:rsidR="00C02252" w:rsidRDefault="00713265" w:rsidP="00DA3F2D">
            <w:pPr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713265">
              <w:rPr>
                <w:rFonts w:ascii="Times New Roman" w:hAnsi="Times New Roman"/>
                <w:color w:val="000000"/>
                <w:spacing w:val="-2"/>
              </w:rPr>
              <w:t>wywołać funkcję „Złóż pismo” w module „Biuro Podawcze”.</w:t>
            </w:r>
          </w:p>
          <w:p w14:paraId="01D64BC3" w14:textId="77777777" w:rsidR="000D2384" w:rsidRDefault="000D2384" w:rsidP="00C02252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15252553" w14:textId="77777777" w:rsidR="00B72866" w:rsidRDefault="000D2384" w:rsidP="00C02252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Zgodnie z § 4 projektowanego rozporządzenia, pisma</w:t>
            </w:r>
            <w:r w:rsidR="00F948A8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B72866">
              <w:rPr>
                <w:rFonts w:ascii="Times New Roman" w:hAnsi="Times New Roman"/>
                <w:color w:val="000000"/>
                <w:spacing w:val="-2"/>
              </w:rPr>
              <w:t xml:space="preserve">procesowe </w:t>
            </w:r>
            <w:r w:rsidR="00F948A8">
              <w:rPr>
                <w:rFonts w:ascii="Times New Roman" w:hAnsi="Times New Roman"/>
                <w:color w:val="000000"/>
                <w:spacing w:val="-2"/>
              </w:rPr>
              <w:t>wnoszone za pośrednictwem portalu informacyjnego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będą musiały być sporządzone w formacie odpowiadającym formatowi A4. Zapewni to zgodność z systemami sądowymi, czytelność i standaryzację, a także ułatwi drukowanie, przeglądanie i dekretację.</w:t>
            </w:r>
            <w:r w:rsidR="00B72866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4D159E72" w14:textId="77777777" w:rsidR="008004CC" w:rsidRDefault="008004CC" w:rsidP="00C02252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Rozmiar pojedynczego załącznika </w:t>
            </w:r>
            <w:r w:rsidR="00B72866">
              <w:rPr>
                <w:rFonts w:ascii="Times New Roman" w:hAnsi="Times New Roman"/>
                <w:color w:val="000000"/>
                <w:spacing w:val="-2"/>
              </w:rPr>
              <w:t xml:space="preserve">wnoszonego za pośrednictwem portalu informacyjnego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nie będzie mógł przekraczać 100 MB. Wpłynie to pozytywnie na szybkość przetwarzania, gdyż mniejsze pliki są szybciej przesyłane, weryfikowane i archiwizowane. Ograniczenie rozmiaru zapobiegnie również przeciążeniu serwerów i </w:t>
            </w:r>
            <w:r w:rsidRPr="008004CC">
              <w:rPr>
                <w:rFonts w:ascii="Times New Roman" w:hAnsi="Times New Roman"/>
                <w:color w:val="000000"/>
                <w:spacing w:val="-2"/>
              </w:rPr>
              <w:t>umożliwieni obsług</w:t>
            </w:r>
            <w:r>
              <w:rPr>
                <w:rFonts w:ascii="Times New Roman" w:hAnsi="Times New Roman"/>
                <w:color w:val="000000"/>
                <w:spacing w:val="-2"/>
              </w:rPr>
              <w:t>ę</w:t>
            </w:r>
            <w:r w:rsidRPr="008004CC">
              <w:rPr>
                <w:rFonts w:ascii="Times New Roman" w:hAnsi="Times New Roman"/>
                <w:color w:val="000000"/>
                <w:spacing w:val="-2"/>
              </w:rPr>
              <w:t xml:space="preserve"> wielu użytkowników jednocześnie bez spadku jakości usług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. Małe pliki łatwiej poddaje się kontroli, zaś duże mogą </w:t>
            </w:r>
            <w:r w:rsidR="00907053">
              <w:rPr>
                <w:rFonts w:ascii="Times New Roman" w:hAnsi="Times New Roman"/>
                <w:color w:val="000000"/>
                <w:spacing w:val="-2"/>
              </w:rPr>
              <w:t>powodować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przeciążeni</w:t>
            </w:r>
            <w:r w:rsidR="00907053">
              <w:rPr>
                <w:rFonts w:ascii="Times New Roman" w:hAnsi="Times New Roman"/>
                <w:color w:val="000000"/>
                <w:spacing w:val="-2"/>
              </w:rPr>
              <w:t>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systemów.</w:t>
            </w:r>
          </w:p>
          <w:p w14:paraId="516C5C38" w14:textId="77777777" w:rsidR="009357C3" w:rsidRDefault="009357C3" w:rsidP="00C02252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Dopuszczalne formaty </w:t>
            </w:r>
            <w:r w:rsidRPr="009357C3">
              <w:rPr>
                <w:rFonts w:ascii="Times New Roman" w:hAnsi="Times New Roman"/>
                <w:color w:val="000000"/>
                <w:spacing w:val="-2"/>
              </w:rPr>
              <w:t>danych dla pism procesowych i załączników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42709F">
              <w:rPr>
                <w:rFonts w:ascii="Times New Roman" w:hAnsi="Times New Roman"/>
                <w:color w:val="000000"/>
                <w:spacing w:val="-2"/>
              </w:rPr>
              <w:t xml:space="preserve">składanych za pośrednictwem portalu informacyjnego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zostały określone w załączniku nr 1 do </w:t>
            </w:r>
            <w:r w:rsidR="00B72866">
              <w:rPr>
                <w:rFonts w:ascii="Times New Roman" w:hAnsi="Times New Roman"/>
                <w:color w:val="000000"/>
                <w:spacing w:val="-2"/>
              </w:rPr>
              <w:t xml:space="preserve">projektowanego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rozporządzenia, </w:t>
            </w:r>
            <w:r w:rsidRPr="009357C3">
              <w:rPr>
                <w:rFonts w:ascii="Times New Roman" w:hAnsi="Times New Roman"/>
                <w:color w:val="000000"/>
                <w:spacing w:val="-2"/>
              </w:rPr>
              <w:t xml:space="preserve">wymagania techniczne dla struktury i nazewnictwa plików </w:t>
            </w:r>
            <w:r w:rsidR="0042709F">
              <w:rPr>
                <w:rFonts w:ascii="Times New Roman" w:hAnsi="Times New Roman"/>
                <w:color w:val="000000"/>
                <w:spacing w:val="-2"/>
              </w:rPr>
              <w:t xml:space="preserve">zostały określone </w:t>
            </w:r>
            <w:r w:rsidRPr="009357C3">
              <w:rPr>
                <w:rFonts w:ascii="Times New Roman" w:hAnsi="Times New Roman"/>
                <w:color w:val="000000"/>
                <w:spacing w:val="-2"/>
              </w:rPr>
              <w:t>załącznik</w:t>
            </w:r>
            <w:r>
              <w:rPr>
                <w:rFonts w:ascii="Times New Roman" w:hAnsi="Times New Roman"/>
                <w:color w:val="000000"/>
                <w:spacing w:val="-2"/>
              </w:rPr>
              <w:t>u</w:t>
            </w:r>
            <w:r w:rsidRPr="009357C3">
              <w:rPr>
                <w:rFonts w:ascii="Times New Roman" w:hAnsi="Times New Roman"/>
                <w:color w:val="000000"/>
                <w:spacing w:val="-2"/>
              </w:rPr>
              <w:t xml:space="preserve"> nr 2</w:t>
            </w:r>
            <w:r w:rsidR="0042709F">
              <w:rPr>
                <w:rFonts w:ascii="Times New Roman" w:hAnsi="Times New Roman"/>
                <w:color w:val="000000"/>
                <w:spacing w:val="-2"/>
              </w:rPr>
              <w:t xml:space="preserve"> do projektowanego rozporządzenia</w:t>
            </w:r>
            <w:r w:rsidRPr="009357C3">
              <w:rPr>
                <w:rFonts w:ascii="Times New Roman" w:hAnsi="Times New Roman"/>
                <w:color w:val="000000"/>
                <w:spacing w:val="-2"/>
              </w:rPr>
              <w:t xml:space="preserve">, a minimalne wymagania techniczne dla załączników stanowiących odwzorowania cyfrowe </w:t>
            </w:r>
            <w:r w:rsidR="0042709F">
              <w:rPr>
                <w:rFonts w:ascii="Times New Roman" w:hAnsi="Times New Roman"/>
                <w:color w:val="000000"/>
                <w:spacing w:val="-2"/>
              </w:rPr>
              <w:t xml:space="preserve">zostały określone </w:t>
            </w: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9357C3">
              <w:rPr>
                <w:rFonts w:ascii="Times New Roman" w:hAnsi="Times New Roman"/>
                <w:color w:val="000000"/>
                <w:spacing w:val="-2"/>
              </w:rPr>
              <w:t xml:space="preserve"> załącznik</w:t>
            </w:r>
            <w:r>
              <w:rPr>
                <w:rFonts w:ascii="Times New Roman" w:hAnsi="Times New Roman"/>
                <w:color w:val="000000"/>
                <w:spacing w:val="-2"/>
              </w:rPr>
              <w:t>u</w:t>
            </w:r>
            <w:r w:rsidRPr="009357C3">
              <w:rPr>
                <w:rFonts w:ascii="Times New Roman" w:hAnsi="Times New Roman"/>
                <w:color w:val="000000"/>
                <w:spacing w:val="-2"/>
              </w:rPr>
              <w:t xml:space="preserve"> nr 3</w:t>
            </w:r>
            <w:r w:rsidR="0042709F">
              <w:rPr>
                <w:rFonts w:ascii="Times New Roman" w:hAnsi="Times New Roman"/>
                <w:color w:val="000000"/>
                <w:spacing w:val="-2"/>
              </w:rPr>
              <w:t xml:space="preserve"> do projektowanego rozporządzenia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. Zapewnia to </w:t>
            </w:r>
            <w:r w:rsidRPr="009357C3">
              <w:rPr>
                <w:rFonts w:ascii="Times New Roman" w:hAnsi="Times New Roman"/>
                <w:color w:val="000000"/>
                <w:spacing w:val="-2"/>
              </w:rPr>
              <w:t>bezpieczeństwo, interoperacyjność, czytelność oraz zgodność z systemami informatycznymi sądów i przepisami prawa.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Określenie w</w:t>
            </w:r>
            <w:r w:rsidRPr="009357C3">
              <w:rPr>
                <w:rFonts w:ascii="Times New Roman" w:hAnsi="Times New Roman"/>
                <w:color w:val="000000"/>
                <w:spacing w:val="-2"/>
              </w:rPr>
              <w:t>ymaga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ń </w:t>
            </w:r>
            <w:r w:rsidRPr="009357C3">
              <w:rPr>
                <w:rFonts w:ascii="Times New Roman" w:hAnsi="Times New Roman"/>
                <w:color w:val="000000"/>
                <w:spacing w:val="-2"/>
              </w:rPr>
              <w:t>techniczn</w:t>
            </w:r>
            <w:r>
              <w:rPr>
                <w:rFonts w:ascii="Times New Roman" w:hAnsi="Times New Roman"/>
                <w:color w:val="000000"/>
                <w:spacing w:val="-2"/>
              </w:rPr>
              <w:t>ych</w:t>
            </w:r>
            <w:r w:rsidRPr="009357C3">
              <w:rPr>
                <w:rFonts w:ascii="Times New Roman" w:hAnsi="Times New Roman"/>
                <w:color w:val="000000"/>
                <w:spacing w:val="-2"/>
              </w:rPr>
              <w:t xml:space="preserve"> dla struktury i nazewnictwa plików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ma na celu ułatwienie automatycznego rozpoznania typu pliku oraz szybkiego odnajdywania dokumentu w systemie. </w:t>
            </w:r>
            <w:r w:rsidRPr="009357C3">
              <w:rPr>
                <w:rFonts w:ascii="Times New Roman" w:hAnsi="Times New Roman"/>
                <w:color w:val="000000"/>
                <w:spacing w:val="-2"/>
              </w:rPr>
              <w:t>Minimalne wymagania techniczne dla załączników stanowiących odwzorowania cyfrowe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mają </w:t>
            </w:r>
            <w:r w:rsidR="0018638A" w:rsidRPr="0018638A">
              <w:rPr>
                <w:rFonts w:ascii="Times New Roman" w:hAnsi="Times New Roman"/>
                <w:color w:val="000000"/>
                <w:spacing w:val="-2"/>
              </w:rPr>
              <w:t>wyeliminować błędy wynikające z niewyraźnych skanów, zniekształceń, obciętych fragmentów załączników</w:t>
            </w:r>
            <w:r w:rsidR="0018638A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  <w:p w14:paraId="2EE7F1BE" w14:textId="04C62FE9" w:rsidR="0018638A" w:rsidRDefault="0042709F" w:rsidP="00DA3F2D">
            <w:pPr>
              <w:spacing w:after="120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P</w:t>
            </w:r>
            <w:r w:rsidRPr="0042709F">
              <w:rPr>
                <w:rFonts w:ascii="Times New Roman" w:hAnsi="Times New Roman"/>
                <w:color w:val="000000"/>
                <w:spacing w:val="-2"/>
              </w:rPr>
              <w:t>isma procesowe lub załączniki stanowiące odwzorowania cyfrowe dokumentów zawierających wyłącznie tekst wnosi się za pośrednictwem portalu informacyjnego w formatach .txt, .rtf, .pdf, .</w:t>
            </w:r>
            <w:proofErr w:type="spellStart"/>
            <w:r w:rsidRPr="0042709F">
              <w:rPr>
                <w:rFonts w:ascii="Times New Roman" w:hAnsi="Times New Roman"/>
                <w:color w:val="000000"/>
                <w:spacing w:val="-2"/>
              </w:rPr>
              <w:t>odt</w:t>
            </w:r>
            <w:proofErr w:type="spellEnd"/>
            <w:r w:rsidRPr="0042709F">
              <w:rPr>
                <w:rFonts w:ascii="Times New Roman" w:hAnsi="Times New Roman"/>
                <w:color w:val="000000"/>
                <w:spacing w:val="-2"/>
              </w:rPr>
              <w:t>, .</w:t>
            </w:r>
            <w:proofErr w:type="spellStart"/>
            <w:r w:rsidRPr="0042709F">
              <w:rPr>
                <w:rFonts w:ascii="Times New Roman" w:hAnsi="Times New Roman"/>
                <w:color w:val="000000"/>
                <w:spacing w:val="-2"/>
              </w:rPr>
              <w:t>doc</w:t>
            </w:r>
            <w:proofErr w:type="spellEnd"/>
            <w:r w:rsidRPr="0042709F">
              <w:rPr>
                <w:rFonts w:ascii="Times New Roman" w:hAnsi="Times New Roman"/>
                <w:color w:val="000000"/>
                <w:spacing w:val="-2"/>
              </w:rPr>
              <w:t>, .</w:t>
            </w:r>
            <w:proofErr w:type="spellStart"/>
            <w:r w:rsidRPr="0042709F">
              <w:rPr>
                <w:rFonts w:ascii="Times New Roman" w:hAnsi="Times New Roman"/>
                <w:color w:val="000000"/>
                <w:spacing w:val="-2"/>
              </w:rPr>
              <w:t>docx</w:t>
            </w:r>
            <w:proofErr w:type="spellEnd"/>
            <w:r w:rsidRPr="0042709F">
              <w:rPr>
                <w:rFonts w:ascii="Times New Roman" w:hAnsi="Times New Roman"/>
                <w:color w:val="000000"/>
                <w:spacing w:val="-2"/>
              </w:rPr>
              <w:t>, .</w:t>
            </w:r>
            <w:proofErr w:type="spellStart"/>
            <w:r w:rsidRPr="0042709F">
              <w:rPr>
                <w:rFonts w:ascii="Times New Roman" w:hAnsi="Times New Roman"/>
                <w:color w:val="000000"/>
                <w:spacing w:val="-2"/>
              </w:rPr>
              <w:t>csv</w:t>
            </w:r>
            <w:proofErr w:type="spellEnd"/>
            <w:r w:rsidRPr="0042709F">
              <w:rPr>
                <w:rFonts w:ascii="Times New Roman" w:hAnsi="Times New Roman"/>
                <w:color w:val="000000"/>
                <w:spacing w:val="-2"/>
              </w:rPr>
              <w:t xml:space="preserve">, </w:t>
            </w:r>
            <w:proofErr w:type="spellStart"/>
            <w:r w:rsidRPr="0042709F">
              <w:rPr>
                <w:rFonts w:ascii="Times New Roman" w:hAnsi="Times New Roman"/>
                <w:color w:val="000000"/>
                <w:spacing w:val="-2"/>
              </w:rPr>
              <w:t>xml</w:t>
            </w:r>
            <w:proofErr w:type="spellEnd"/>
            <w:r w:rsidRPr="0042709F">
              <w:rPr>
                <w:rFonts w:ascii="Times New Roman" w:hAnsi="Times New Roman"/>
                <w:color w:val="000000"/>
                <w:spacing w:val="-2"/>
              </w:rPr>
              <w:t xml:space="preserve">, </w:t>
            </w:r>
            <w:proofErr w:type="spellStart"/>
            <w:r w:rsidRPr="0042709F">
              <w:rPr>
                <w:rFonts w:ascii="Times New Roman" w:hAnsi="Times New Roman"/>
                <w:color w:val="000000"/>
                <w:spacing w:val="-2"/>
              </w:rPr>
              <w:t>PAdES</w:t>
            </w:r>
            <w:proofErr w:type="spellEnd"/>
            <w:r w:rsidRPr="0042709F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  <w:p w14:paraId="79214D14" w14:textId="134C07FD" w:rsidR="0018638A" w:rsidRDefault="0042709F" w:rsidP="00DA3F2D">
            <w:pPr>
              <w:spacing w:after="120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W projektowanym </w:t>
            </w:r>
            <w:r w:rsidR="0018638A">
              <w:rPr>
                <w:rFonts w:ascii="Times New Roman" w:hAnsi="Times New Roman"/>
                <w:color w:val="000000"/>
                <w:spacing w:val="-2"/>
              </w:rPr>
              <w:t xml:space="preserve">§ 5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rozporządzenia została określona </w:t>
            </w:r>
            <w:r w:rsidRPr="0018638A">
              <w:rPr>
                <w:rFonts w:ascii="Times New Roman" w:hAnsi="Times New Roman"/>
                <w:color w:val="000000"/>
                <w:spacing w:val="-2"/>
              </w:rPr>
              <w:t>zasad</w:t>
            </w:r>
            <w:r>
              <w:rPr>
                <w:rFonts w:ascii="Times New Roman" w:hAnsi="Times New Roman"/>
                <w:color w:val="000000"/>
                <w:spacing w:val="-2"/>
              </w:rPr>
              <w:t>a</w:t>
            </w:r>
            <w:r w:rsidRPr="0018638A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18638A" w:rsidRPr="0018638A">
              <w:rPr>
                <w:rFonts w:ascii="Times New Roman" w:hAnsi="Times New Roman"/>
                <w:color w:val="000000"/>
                <w:spacing w:val="-2"/>
              </w:rPr>
              <w:t>automatycznego generowania oraz udostępniania elektronicznego potwierdzenia wniesienia pisma procesowego</w:t>
            </w:r>
            <w:r w:rsidR="0018638A">
              <w:rPr>
                <w:rFonts w:ascii="Times New Roman" w:hAnsi="Times New Roman"/>
                <w:color w:val="000000"/>
                <w:spacing w:val="-2"/>
              </w:rPr>
              <w:t xml:space="preserve">. </w:t>
            </w:r>
            <w:r w:rsidR="00471DA0" w:rsidRPr="00471DA0">
              <w:rPr>
                <w:rFonts w:ascii="Times New Roman" w:hAnsi="Times New Roman"/>
                <w:color w:val="000000"/>
                <w:spacing w:val="-2"/>
              </w:rPr>
              <w:t xml:space="preserve">Po wniesieniu pisma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procesowego </w:t>
            </w:r>
            <w:r w:rsidR="00471DA0" w:rsidRPr="00471DA0">
              <w:rPr>
                <w:rFonts w:ascii="Times New Roman" w:hAnsi="Times New Roman"/>
                <w:color w:val="000000"/>
                <w:spacing w:val="-2"/>
              </w:rPr>
              <w:t>system automatycznie prezentuje na koncie użytkownika datę jego wniesienia oraz</w:t>
            </w:r>
            <w:r w:rsidR="00471DA0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471DA0" w:rsidRPr="00471DA0">
              <w:rPr>
                <w:rFonts w:ascii="Times New Roman" w:hAnsi="Times New Roman"/>
                <w:color w:val="000000"/>
                <w:spacing w:val="-2"/>
              </w:rPr>
              <w:t xml:space="preserve">dokument </w:t>
            </w:r>
            <w:r w:rsidR="00875CA1" w:rsidRPr="00875CA1">
              <w:rPr>
                <w:rFonts w:ascii="Times New Roman" w:hAnsi="Times New Roman"/>
                <w:color w:val="000000"/>
                <w:spacing w:val="-2"/>
              </w:rPr>
              <w:t>zawiera</w:t>
            </w:r>
            <w:r w:rsidR="00875CA1">
              <w:rPr>
                <w:rFonts w:ascii="Times New Roman" w:hAnsi="Times New Roman"/>
                <w:color w:val="000000"/>
                <w:spacing w:val="-2"/>
              </w:rPr>
              <w:t>jący</w:t>
            </w:r>
            <w:r w:rsidR="00875CA1" w:rsidRPr="00875CA1">
              <w:rPr>
                <w:rFonts w:ascii="Times New Roman" w:hAnsi="Times New Roman"/>
                <w:color w:val="000000"/>
                <w:spacing w:val="-2"/>
              </w:rPr>
              <w:t xml:space="preserve"> wynik weryfikacji podpisu elektronicznego osoby wnoszącej pismo, w szczególności informację o poprawności jego złożenia, dacie jego złożenia oraz danych identyfikujących podpisującego (§ 6 ust. 2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projektu</w:t>
            </w:r>
            <w:r w:rsidR="00875CA1" w:rsidRPr="00875CA1">
              <w:rPr>
                <w:rFonts w:ascii="Times New Roman" w:hAnsi="Times New Roman"/>
                <w:color w:val="000000"/>
                <w:spacing w:val="-2"/>
              </w:rPr>
              <w:t>)</w:t>
            </w:r>
            <w:r w:rsidR="00471DA0" w:rsidRPr="00471DA0">
              <w:rPr>
                <w:rFonts w:ascii="Times New Roman" w:hAnsi="Times New Roman"/>
                <w:color w:val="000000"/>
                <w:spacing w:val="-2"/>
              </w:rPr>
              <w:t xml:space="preserve">. </w:t>
            </w:r>
            <w:r w:rsidR="0018638A">
              <w:rPr>
                <w:rFonts w:ascii="Times New Roman" w:hAnsi="Times New Roman"/>
                <w:color w:val="000000"/>
                <w:spacing w:val="-2"/>
              </w:rPr>
              <w:t>I</w:t>
            </w:r>
            <w:r w:rsidR="0018638A" w:rsidRPr="0018638A">
              <w:rPr>
                <w:rFonts w:ascii="Times New Roman" w:hAnsi="Times New Roman"/>
                <w:color w:val="000000"/>
                <w:spacing w:val="-2"/>
              </w:rPr>
              <w:t>nformacj</w:t>
            </w:r>
            <w:r w:rsidR="00471DA0">
              <w:rPr>
                <w:rFonts w:ascii="Times New Roman" w:hAnsi="Times New Roman"/>
                <w:color w:val="000000"/>
                <w:spacing w:val="-2"/>
              </w:rPr>
              <w:t>a</w:t>
            </w:r>
            <w:r w:rsidR="0018638A" w:rsidRPr="0018638A">
              <w:rPr>
                <w:rFonts w:ascii="Times New Roman" w:hAnsi="Times New Roman"/>
                <w:color w:val="000000"/>
                <w:spacing w:val="-2"/>
              </w:rPr>
              <w:t xml:space="preserve"> zwrotn</w:t>
            </w:r>
            <w:r w:rsidR="00471DA0">
              <w:rPr>
                <w:rFonts w:ascii="Times New Roman" w:hAnsi="Times New Roman"/>
                <w:color w:val="000000"/>
                <w:spacing w:val="-2"/>
              </w:rPr>
              <w:t>a</w:t>
            </w:r>
            <w:r w:rsidR="0018638A" w:rsidRPr="0018638A">
              <w:rPr>
                <w:rFonts w:ascii="Times New Roman" w:hAnsi="Times New Roman"/>
                <w:color w:val="000000"/>
                <w:spacing w:val="-2"/>
              </w:rPr>
              <w:t xml:space="preserve"> o skutecznym przekazaniu pisma do portalu informacyjnego</w:t>
            </w:r>
            <w:r w:rsidR="0018638A">
              <w:rPr>
                <w:rFonts w:ascii="Times New Roman" w:hAnsi="Times New Roman"/>
                <w:color w:val="000000"/>
                <w:spacing w:val="-2"/>
              </w:rPr>
              <w:t xml:space="preserve"> wzmocni</w:t>
            </w:r>
            <w:r w:rsidR="0018638A" w:rsidRPr="0018638A">
              <w:rPr>
                <w:rFonts w:ascii="Times New Roman" w:hAnsi="Times New Roman"/>
                <w:color w:val="000000"/>
                <w:spacing w:val="-2"/>
              </w:rPr>
              <w:t xml:space="preserve"> pewność obrotu prawnego, podn</w:t>
            </w:r>
            <w:r w:rsidR="0018638A">
              <w:rPr>
                <w:rFonts w:ascii="Times New Roman" w:hAnsi="Times New Roman"/>
                <w:color w:val="000000"/>
                <w:spacing w:val="-2"/>
              </w:rPr>
              <w:t>iesie</w:t>
            </w:r>
            <w:r w:rsidR="0018638A" w:rsidRPr="0018638A">
              <w:rPr>
                <w:rFonts w:ascii="Times New Roman" w:hAnsi="Times New Roman"/>
                <w:color w:val="000000"/>
                <w:spacing w:val="-2"/>
              </w:rPr>
              <w:t xml:space="preserve"> transparentność procedowania oraz </w:t>
            </w:r>
            <w:r w:rsidR="0018638A">
              <w:rPr>
                <w:rFonts w:ascii="Times New Roman" w:hAnsi="Times New Roman"/>
                <w:color w:val="000000"/>
                <w:spacing w:val="-2"/>
              </w:rPr>
              <w:t>wy</w:t>
            </w:r>
            <w:r w:rsidR="0018638A" w:rsidRPr="0018638A">
              <w:rPr>
                <w:rFonts w:ascii="Times New Roman" w:hAnsi="Times New Roman"/>
                <w:color w:val="000000"/>
                <w:spacing w:val="-2"/>
              </w:rPr>
              <w:t>eliminuje ryzyko wadliwego ustalenia daty wniesienia pisma</w:t>
            </w:r>
            <w:r w:rsidR="0018638A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  <w:p w14:paraId="0D96EC7C" w14:textId="4228C128" w:rsidR="0018638A" w:rsidRPr="00654FE1" w:rsidRDefault="00875CA1" w:rsidP="00C02252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Zgodnie z </w:t>
            </w:r>
            <w:r w:rsidR="0042709F">
              <w:rPr>
                <w:rFonts w:ascii="Times New Roman" w:hAnsi="Times New Roman"/>
                <w:color w:val="000000"/>
                <w:spacing w:val="-2"/>
              </w:rPr>
              <w:t xml:space="preserve">projektowanym </w:t>
            </w:r>
            <w:r>
              <w:rPr>
                <w:rFonts w:ascii="Times New Roman" w:hAnsi="Times New Roman"/>
                <w:color w:val="000000"/>
                <w:spacing w:val="-2"/>
              </w:rPr>
              <w:t>§ 7</w:t>
            </w:r>
            <w:r w:rsidR="0042709F">
              <w:rPr>
                <w:rFonts w:ascii="Times New Roman" w:hAnsi="Times New Roman"/>
                <w:color w:val="000000"/>
                <w:spacing w:val="-2"/>
              </w:rPr>
              <w:t xml:space="preserve"> rozporządzenia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, </w:t>
            </w:r>
            <w:r w:rsidRPr="00875CA1">
              <w:rPr>
                <w:rFonts w:ascii="Times New Roman" w:hAnsi="Times New Roman"/>
                <w:color w:val="000000"/>
                <w:spacing w:val="-2"/>
              </w:rPr>
              <w:t>elektroniczne potwierdzeni</w:t>
            </w:r>
            <w:r>
              <w:rPr>
                <w:rFonts w:ascii="Times New Roman" w:hAnsi="Times New Roman"/>
                <w:color w:val="000000"/>
                <w:spacing w:val="-2"/>
              </w:rPr>
              <w:t>e</w:t>
            </w:r>
            <w:r w:rsidRPr="00875CA1">
              <w:rPr>
                <w:rFonts w:ascii="Times New Roman" w:hAnsi="Times New Roman"/>
                <w:color w:val="000000"/>
                <w:spacing w:val="-2"/>
              </w:rPr>
              <w:t xml:space="preserve"> wniesienia pisma oraz dokument z wynikiem weryfikacji podpisu elektronicznego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zostaną opatrzone </w:t>
            </w:r>
            <w:r w:rsidRPr="00875CA1">
              <w:rPr>
                <w:rFonts w:ascii="Times New Roman" w:hAnsi="Times New Roman"/>
                <w:color w:val="000000"/>
                <w:spacing w:val="-2"/>
              </w:rPr>
              <w:t>kwalifikowaną pieczęcią elektroniczną właściwego sądu apelacyjnego</w:t>
            </w:r>
            <w:r>
              <w:rPr>
                <w:rFonts w:ascii="Times New Roman" w:hAnsi="Times New Roman"/>
                <w:color w:val="000000"/>
                <w:spacing w:val="-2"/>
              </w:rPr>
              <w:t>, w celu zapewnienia autentyczności i niepodważalności wygenerowanych dokumentów</w:t>
            </w:r>
            <w:r w:rsidR="00C90730">
              <w:rPr>
                <w:rFonts w:ascii="Times New Roman" w:hAnsi="Times New Roman"/>
                <w:color w:val="000000"/>
                <w:spacing w:val="-2"/>
              </w:rPr>
              <w:t xml:space="preserve">. Zapewni to również ich </w:t>
            </w:r>
            <w:r w:rsidR="00C90730" w:rsidRPr="00C90730">
              <w:rPr>
                <w:rFonts w:ascii="Times New Roman" w:hAnsi="Times New Roman"/>
                <w:color w:val="000000"/>
                <w:spacing w:val="-2"/>
              </w:rPr>
              <w:t>powiązani</w:t>
            </w:r>
            <w:r w:rsidR="00C90730">
              <w:rPr>
                <w:rFonts w:ascii="Times New Roman" w:hAnsi="Times New Roman"/>
                <w:color w:val="000000"/>
                <w:spacing w:val="-2"/>
              </w:rPr>
              <w:t>e</w:t>
            </w:r>
            <w:r w:rsidR="00C90730" w:rsidRPr="00C90730">
              <w:rPr>
                <w:rFonts w:ascii="Times New Roman" w:hAnsi="Times New Roman"/>
                <w:color w:val="000000"/>
                <w:spacing w:val="-2"/>
              </w:rPr>
              <w:t xml:space="preserve"> organizacyjn</w:t>
            </w:r>
            <w:r w:rsidR="00C90730">
              <w:rPr>
                <w:rFonts w:ascii="Times New Roman" w:hAnsi="Times New Roman"/>
                <w:color w:val="000000"/>
                <w:spacing w:val="-2"/>
              </w:rPr>
              <w:t>e</w:t>
            </w:r>
            <w:r w:rsidR="00C90730" w:rsidRPr="00C90730">
              <w:rPr>
                <w:rFonts w:ascii="Times New Roman" w:hAnsi="Times New Roman"/>
                <w:color w:val="000000"/>
                <w:spacing w:val="-2"/>
              </w:rPr>
              <w:t xml:space="preserve"> z podmiotem odpowiedzialnym za utrzymanie i rozwój portalu, </w:t>
            </w:r>
            <w:r w:rsidR="00C90730">
              <w:rPr>
                <w:rFonts w:ascii="Times New Roman" w:hAnsi="Times New Roman"/>
                <w:color w:val="000000"/>
                <w:spacing w:val="-2"/>
              </w:rPr>
              <w:t>zgodnie z</w:t>
            </w:r>
            <w:r w:rsidR="00C90730" w:rsidRPr="00C90730">
              <w:rPr>
                <w:rFonts w:ascii="Times New Roman" w:hAnsi="Times New Roman"/>
                <w:color w:val="000000"/>
                <w:spacing w:val="-2"/>
              </w:rPr>
              <w:t xml:space="preserve"> art. 175da § 7 </w:t>
            </w:r>
            <w:r w:rsidR="0042709F">
              <w:rPr>
                <w:rFonts w:ascii="Times New Roman" w:hAnsi="Times New Roman"/>
                <w:color w:val="000000"/>
                <w:spacing w:val="-2"/>
              </w:rPr>
              <w:t>u.s.p</w:t>
            </w:r>
            <w:r w:rsidR="00C90730" w:rsidRPr="00C90730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6A701A" w:rsidRPr="008B4FE6" w14:paraId="55BA1F8A" w14:textId="77777777" w:rsidTr="00B753DA">
        <w:trPr>
          <w:trHeight w:val="307"/>
        </w:trPr>
        <w:tc>
          <w:tcPr>
            <w:tcW w:w="11008" w:type="dxa"/>
            <w:gridSpan w:val="29"/>
            <w:shd w:val="clear" w:color="auto" w:fill="99CCFF"/>
            <w:vAlign w:val="center"/>
          </w:tcPr>
          <w:p w14:paraId="4456EC75" w14:textId="77777777" w:rsidR="006A701A" w:rsidRPr="008B4FE6" w:rsidRDefault="009E3C4B">
            <w:pPr>
              <w:numPr>
                <w:ilvl w:val="0"/>
                <w:numId w:val="1"/>
              </w:numPr>
              <w:spacing w:before="60" w:after="60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spacing w:val="-2"/>
              </w:rPr>
              <w:lastRenderedPageBreak/>
              <w:t>Jak problem został rozwiązany</w:t>
            </w:r>
            <w:r w:rsidRPr="001812C7">
              <w:rPr>
                <w:rFonts w:ascii="Times New Roman" w:hAnsi="Times New Roman"/>
                <w:b/>
                <w:spacing w:val="-2"/>
              </w:rPr>
              <w:t xml:space="preserve"> w innych krajach, w szczególności krajach członkowskich OECD/UE</w:t>
            </w:r>
            <w:r w:rsidR="006A701A" w:rsidRPr="008B4FE6">
              <w:rPr>
                <w:rFonts w:ascii="Times New Roman" w:hAnsi="Times New Roman"/>
                <w:b/>
                <w:color w:val="000000"/>
              </w:rPr>
              <w:t>?</w:t>
            </w:r>
            <w:r w:rsidR="006A701A" w:rsidRPr="008B4FE6">
              <w:rPr>
                <w:rFonts w:ascii="Times New Roman" w:hAnsi="Times New Roman"/>
                <w:i/>
                <w:color w:val="000000"/>
              </w:rPr>
              <w:t xml:space="preserve"> </w:t>
            </w:r>
          </w:p>
        </w:tc>
      </w:tr>
      <w:tr w:rsidR="006A701A" w:rsidRPr="008B4FE6" w14:paraId="4D6BF638" w14:textId="77777777" w:rsidTr="00B753DA">
        <w:trPr>
          <w:trHeight w:val="142"/>
        </w:trPr>
        <w:tc>
          <w:tcPr>
            <w:tcW w:w="11008" w:type="dxa"/>
            <w:gridSpan w:val="29"/>
          </w:tcPr>
          <w:p w14:paraId="6058E592" w14:textId="77777777" w:rsidR="00440389" w:rsidRPr="00440389" w:rsidRDefault="000A0D05" w:rsidP="00DE3780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0A0D05">
              <w:rPr>
                <w:rFonts w:ascii="Times New Roman" w:hAnsi="Times New Roman"/>
                <w:color w:val="000000"/>
                <w:spacing w:val="-2"/>
              </w:rPr>
              <w:lastRenderedPageBreak/>
              <w:t>Projektowana regulacja ze względu na stopień jej szczegółowości nie była poddawana analizie prawnoporównawczej.</w:t>
            </w:r>
          </w:p>
        </w:tc>
      </w:tr>
      <w:tr w:rsidR="006A701A" w:rsidRPr="008B4FE6" w14:paraId="2089F273" w14:textId="77777777" w:rsidTr="00B753DA">
        <w:trPr>
          <w:trHeight w:val="359"/>
        </w:trPr>
        <w:tc>
          <w:tcPr>
            <w:tcW w:w="11008" w:type="dxa"/>
            <w:gridSpan w:val="29"/>
            <w:shd w:val="clear" w:color="auto" w:fill="99CCFF"/>
            <w:vAlign w:val="center"/>
          </w:tcPr>
          <w:p w14:paraId="41D19690" w14:textId="77777777" w:rsidR="006A701A" w:rsidRPr="008B4FE6" w:rsidRDefault="006A701A">
            <w:pPr>
              <w:numPr>
                <w:ilvl w:val="0"/>
                <w:numId w:val="1"/>
              </w:numPr>
              <w:spacing w:before="60" w:after="60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Podmioty, na które oddziałuje projekt</w:t>
            </w:r>
          </w:p>
        </w:tc>
      </w:tr>
      <w:tr w:rsidR="00BE31BA" w:rsidRPr="008B4FE6" w14:paraId="71882D40" w14:textId="77777777" w:rsidTr="00B753DA">
        <w:trPr>
          <w:trHeight w:val="142"/>
        </w:trPr>
        <w:tc>
          <w:tcPr>
            <w:tcW w:w="2525" w:type="dxa"/>
            <w:gridSpan w:val="2"/>
          </w:tcPr>
          <w:p w14:paraId="6726DAF9" w14:textId="77777777" w:rsidR="00260F33" w:rsidRPr="008B4FE6" w:rsidRDefault="00260F33" w:rsidP="00DE3780">
            <w:pPr>
              <w:spacing w:before="40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Grupa</w:t>
            </w:r>
          </w:p>
        </w:tc>
        <w:tc>
          <w:tcPr>
            <w:tcW w:w="2149" w:type="dxa"/>
            <w:gridSpan w:val="5"/>
          </w:tcPr>
          <w:p w14:paraId="58AB814F" w14:textId="77777777" w:rsidR="00260F33" w:rsidRPr="008B4FE6" w:rsidRDefault="00563199" w:rsidP="00DE3780">
            <w:pPr>
              <w:spacing w:before="40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Wielkość</w:t>
            </w:r>
          </w:p>
        </w:tc>
        <w:tc>
          <w:tcPr>
            <w:tcW w:w="1805" w:type="dxa"/>
            <w:gridSpan w:val="9"/>
            <w:tcBorders>
              <w:bottom w:val="single" w:sz="4" w:space="0" w:color="auto"/>
            </w:tcBorders>
          </w:tcPr>
          <w:p w14:paraId="468CA165" w14:textId="77777777" w:rsidR="00260F33" w:rsidRPr="008B4FE6" w:rsidRDefault="00260F33" w:rsidP="00DE3780">
            <w:pPr>
              <w:spacing w:before="40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Źródło danych</w:t>
            </w:r>
            <w:r w:rsidRPr="008B4FE6" w:rsidDel="00260F3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  <w:tc>
          <w:tcPr>
            <w:tcW w:w="4529" w:type="dxa"/>
            <w:gridSpan w:val="13"/>
          </w:tcPr>
          <w:p w14:paraId="1C187689" w14:textId="77777777" w:rsidR="00260F33" w:rsidRPr="008B4FE6" w:rsidRDefault="00260F33" w:rsidP="00DE3780">
            <w:pPr>
              <w:spacing w:before="40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Oddziaływanie</w:t>
            </w:r>
          </w:p>
        </w:tc>
      </w:tr>
      <w:tr w:rsidR="00BE31BA" w:rsidRPr="008B4FE6" w14:paraId="1CA52238" w14:textId="77777777" w:rsidTr="00B753DA">
        <w:trPr>
          <w:trHeight w:val="142"/>
        </w:trPr>
        <w:tc>
          <w:tcPr>
            <w:tcW w:w="2525" w:type="dxa"/>
            <w:gridSpan w:val="2"/>
          </w:tcPr>
          <w:p w14:paraId="103CD508" w14:textId="77777777" w:rsidR="0017668E" w:rsidRPr="008B4FE6" w:rsidRDefault="0017668E" w:rsidP="00DE3780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17668E">
              <w:rPr>
                <w:rFonts w:ascii="Times New Roman" w:hAnsi="Times New Roman"/>
                <w:color w:val="000000"/>
                <w:spacing w:val="-2"/>
              </w:rPr>
              <w:t>Sądy powszechne</w:t>
            </w:r>
          </w:p>
        </w:tc>
        <w:tc>
          <w:tcPr>
            <w:tcW w:w="2149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08C55339" w14:textId="77777777" w:rsidR="0017668E" w:rsidRPr="0017668E" w:rsidRDefault="0017668E" w:rsidP="00DE3780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17668E">
              <w:rPr>
                <w:rFonts w:ascii="Times New Roman" w:hAnsi="Times New Roman"/>
                <w:color w:val="000000"/>
                <w:spacing w:val="-2"/>
              </w:rPr>
              <w:t>11 sądów apelacyjnych</w:t>
            </w:r>
          </w:p>
          <w:p w14:paraId="151677D8" w14:textId="77777777" w:rsidR="0017668E" w:rsidRPr="0017668E" w:rsidRDefault="0017668E" w:rsidP="00DE3780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17668E">
              <w:rPr>
                <w:rFonts w:ascii="Times New Roman" w:hAnsi="Times New Roman"/>
                <w:color w:val="000000"/>
                <w:spacing w:val="-2"/>
              </w:rPr>
              <w:t>47 sądów okręgowych</w:t>
            </w:r>
          </w:p>
          <w:p w14:paraId="1A004D8C" w14:textId="77777777" w:rsidR="0017668E" w:rsidRPr="0017668E" w:rsidRDefault="0017668E" w:rsidP="00DE3780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17668E">
              <w:rPr>
                <w:rFonts w:ascii="Times New Roman" w:hAnsi="Times New Roman"/>
                <w:color w:val="000000"/>
                <w:spacing w:val="-2"/>
              </w:rPr>
              <w:t>319 sądów rejonowych</w:t>
            </w:r>
          </w:p>
        </w:tc>
        <w:tc>
          <w:tcPr>
            <w:tcW w:w="1805" w:type="dxa"/>
            <w:gridSpan w:val="9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8ABB08E" w14:textId="77777777" w:rsidR="0017668E" w:rsidRPr="00B37C80" w:rsidRDefault="0017668E" w:rsidP="00DE3780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17668E">
              <w:rPr>
                <w:rFonts w:ascii="Times New Roman" w:hAnsi="Times New Roman"/>
                <w:color w:val="000000"/>
                <w:spacing w:val="-2"/>
              </w:rPr>
              <w:t>Ministerstwo Sprawiedliwości</w:t>
            </w:r>
          </w:p>
        </w:tc>
        <w:tc>
          <w:tcPr>
            <w:tcW w:w="4529" w:type="dxa"/>
            <w:gridSpan w:val="13"/>
            <w:tcBorders>
              <w:left w:val="single" w:sz="4" w:space="0" w:color="auto"/>
            </w:tcBorders>
          </w:tcPr>
          <w:p w14:paraId="0DA0F003" w14:textId="77777777" w:rsidR="008B1DA8" w:rsidRDefault="00296CD5" w:rsidP="00DE3780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Ustanowienie </w:t>
            </w:r>
            <w:r w:rsidRPr="00296CD5">
              <w:rPr>
                <w:rFonts w:ascii="Times New Roman" w:hAnsi="Times New Roman"/>
                <w:color w:val="000000"/>
                <w:spacing w:val="-2"/>
              </w:rPr>
              <w:t>procedur</w:t>
            </w:r>
            <w:r>
              <w:rPr>
                <w:rFonts w:ascii="Times New Roman" w:hAnsi="Times New Roman"/>
                <w:color w:val="000000"/>
                <w:spacing w:val="-2"/>
              </w:rPr>
              <w:t>y</w:t>
            </w:r>
            <w:r w:rsidRPr="00296CD5">
              <w:rPr>
                <w:rFonts w:ascii="Times New Roman" w:hAnsi="Times New Roman"/>
                <w:color w:val="000000"/>
                <w:spacing w:val="-2"/>
              </w:rPr>
              <w:t xml:space="preserve"> wnoszenia pisma za pośrednictwem portalu informacyjnego.</w:t>
            </w:r>
          </w:p>
          <w:p w14:paraId="72244DF2" w14:textId="77777777" w:rsidR="003B1481" w:rsidRDefault="003B1481" w:rsidP="00DE3780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75CF3938" w14:textId="77777777" w:rsidR="003B1481" w:rsidRDefault="003B1481" w:rsidP="00DE3780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Określenie formatu, maksymalnego rozmiaru</w:t>
            </w:r>
            <w:r w:rsidR="00FC0C4E">
              <w:rPr>
                <w:rFonts w:ascii="Times New Roman" w:hAnsi="Times New Roman"/>
                <w:color w:val="000000"/>
                <w:spacing w:val="-2"/>
              </w:rPr>
              <w:t>, wymagań dotyczących nazewnictwa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i wymagań technicznych dla pism i załączników wnoszonych </w:t>
            </w:r>
            <w:r w:rsidRPr="003B1481">
              <w:rPr>
                <w:rFonts w:ascii="Times New Roman" w:hAnsi="Times New Roman"/>
                <w:color w:val="000000"/>
                <w:spacing w:val="-2"/>
              </w:rPr>
              <w:t>za pośrednictwem portalu informacyjnego.</w:t>
            </w:r>
          </w:p>
          <w:p w14:paraId="29D3005F" w14:textId="77777777" w:rsidR="003B1481" w:rsidRDefault="003B1481" w:rsidP="00DE3780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1EC20D10" w14:textId="77777777" w:rsidR="003B1481" w:rsidRDefault="003B1481" w:rsidP="00DE3780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3B1481">
              <w:rPr>
                <w:rFonts w:ascii="Times New Roman" w:hAnsi="Times New Roman"/>
                <w:color w:val="000000"/>
                <w:spacing w:val="-2"/>
              </w:rPr>
              <w:t>prowadz</w:t>
            </w:r>
            <w:r>
              <w:rPr>
                <w:rFonts w:ascii="Times New Roman" w:hAnsi="Times New Roman"/>
                <w:color w:val="000000"/>
                <w:spacing w:val="-2"/>
              </w:rPr>
              <w:t>enie</w:t>
            </w:r>
            <w:r w:rsidRPr="003B1481">
              <w:rPr>
                <w:rFonts w:ascii="Times New Roman" w:hAnsi="Times New Roman"/>
                <w:color w:val="000000"/>
                <w:spacing w:val="-2"/>
              </w:rPr>
              <w:t xml:space="preserve"> zasad</w:t>
            </w:r>
            <w:r w:rsidR="008D4A5C">
              <w:rPr>
                <w:rFonts w:ascii="Times New Roman" w:hAnsi="Times New Roman"/>
                <w:color w:val="000000"/>
                <w:spacing w:val="-2"/>
              </w:rPr>
              <w:t>y</w:t>
            </w:r>
            <w:r w:rsidRPr="003B1481">
              <w:rPr>
                <w:rFonts w:ascii="Times New Roman" w:hAnsi="Times New Roman"/>
                <w:color w:val="000000"/>
                <w:spacing w:val="-2"/>
              </w:rPr>
              <w:t xml:space="preserve"> automatycznego generowania oraz udostępniania elektronicznego potwierdzenia wniesienia pisma procesowego</w:t>
            </w:r>
            <w:r w:rsidR="00334756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  <w:p w14:paraId="157BDC68" w14:textId="77777777" w:rsidR="006522DE" w:rsidRDefault="006522DE" w:rsidP="00DE3780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4BC34118" w14:textId="77777777" w:rsidR="006522DE" w:rsidRPr="00B37C80" w:rsidRDefault="006522DE" w:rsidP="00DE3780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Podniesienie transparentności procedowania. Zapewnienie bezpieczeństwa systemów teleinformatycznych sądów.</w:t>
            </w:r>
          </w:p>
        </w:tc>
      </w:tr>
      <w:tr w:rsidR="00BE31BA" w:rsidRPr="008B4FE6" w14:paraId="4E01CF1E" w14:textId="77777777" w:rsidTr="00B753DA">
        <w:trPr>
          <w:trHeight w:val="142"/>
        </w:trPr>
        <w:tc>
          <w:tcPr>
            <w:tcW w:w="2525" w:type="dxa"/>
            <w:gridSpan w:val="2"/>
          </w:tcPr>
          <w:p w14:paraId="061E726C" w14:textId="77777777" w:rsidR="0017668E" w:rsidRPr="008B4FE6" w:rsidRDefault="0017668E" w:rsidP="00DE3780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17668E">
              <w:rPr>
                <w:rFonts w:ascii="Times New Roman" w:hAnsi="Times New Roman"/>
                <w:color w:val="000000"/>
                <w:spacing w:val="-2"/>
              </w:rPr>
              <w:t>Jednostki organizacyjne prokuratury</w:t>
            </w:r>
          </w:p>
        </w:tc>
        <w:tc>
          <w:tcPr>
            <w:tcW w:w="2149" w:type="dxa"/>
            <w:gridSpan w:val="5"/>
          </w:tcPr>
          <w:p w14:paraId="591855ED" w14:textId="77777777" w:rsidR="0017668E" w:rsidRPr="0017668E" w:rsidRDefault="0017668E" w:rsidP="00DE3780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17668E">
              <w:rPr>
                <w:rFonts w:ascii="Times New Roman" w:hAnsi="Times New Roman"/>
                <w:color w:val="000000"/>
                <w:spacing w:val="-2"/>
              </w:rPr>
              <w:t>11 prokuratur regionalnych</w:t>
            </w:r>
          </w:p>
          <w:p w14:paraId="15A543E3" w14:textId="77777777" w:rsidR="0017668E" w:rsidRPr="0017668E" w:rsidRDefault="0017668E" w:rsidP="00DE3780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17668E">
              <w:rPr>
                <w:rFonts w:ascii="Times New Roman" w:hAnsi="Times New Roman"/>
                <w:color w:val="000000"/>
                <w:spacing w:val="-2"/>
              </w:rPr>
              <w:t>46 prokuratur okręgowych</w:t>
            </w:r>
          </w:p>
          <w:p w14:paraId="002A0654" w14:textId="77777777" w:rsidR="0017668E" w:rsidRPr="00B37C80" w:rsidRDefault="0017668E" w:rsidP="00DE3780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17668E">
              <w:rPr>
                <w:rFonts w:ascii="Times New Roman" w:hAnsi="Times New Roman"/>
                <w:color w:val="000000"/>
                <w:spacing w:val="-2"/>
              </w:rPr>
              <w:t>358 prokuratur rejonowych</w:t>
            </w:r>
          </w:p>
        </w:tc>
        <w:tc>
          <w:tcPr>
            <w:tcW w:w="1805" w:type="dxa"/>
            <w:gridSpan w:val="9"/>
          </w:tcPr>
          <w:p w14:paraId="67417418" w14:textId="77777777" w:rsidR="0017668E" w:rsidRPr="00B37C80" w:rsidRDefault="0017668E" w:rsidP="00DE3780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17668E">
              <w:rPr>
                <w:rFonts w:ascii="Times New Roman" w:hAnsi="Times New Roman"/>
                <w:color w:val="000000"/>
                <w:spacing w:val="-2"/>
              </w:rPr>
              <w:t>Ministerstwo Sprawiedliwości</w:t>
            </w:r>
          </w:p>
        </w:tc>
        <w:tc>
          <w:tcPr>
            <w:tcW w:w="4529" w:type="dxa"/>
            <w:gridSpan w:val="13"/>
          </w:tcPr>
          <w:p w14:paraId="550FA3AC" w14:textId="77777777" w:rsidR="008B1DA8" w:rsidRDefault="00296CD5" w:rsidP="00DE3780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96CD5">
              <w:rPr>
                <w:rFonts w:ascii="Times New Roman" w:hAnsi="Times New Roman"/>
                <w:color w:val="000000"/>
                <w:spacing w:val="-2"/>
              </w:rPr>
              <w:t>Ustanowienie procedury wnoszenia pisma za pośrednictwem portalu informacyjnego.</w:t>
            </w:r>
          </w:p>
          <w:p w14:paraId="5406D560" w14:textId="77777777" w:rsidR="00A5108E" w:rsidRDefault="00A5108E" w:rsidP="00DE3780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2534A030" w14:textId="77777777" w:rsidR="00334756" w:rsidRPr="00334756" w:rsidRDefault="00334756" w:rsidP="00334756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334756">
              <w:rPr>
                <w:rFonts w:ascii="Times New Roman" w:hAnsi="Times New Roman"/>
                <w:color w:val="000000"/>
                <w:spacing w:val="-2"/>
              </w:rPr>
              <w:t>Określenie formatu, maksymalnego rozmiaru, wymagań dotyczących nazewnictwa i wymagań technicznych dla pism i załączników wnoszonych za pośrednictwem portalu informacyjnego.</w:t>
            </w:r>
          </w:p>
          <w:p w14:paraId="6EF222E2" w14:textId="77777777" w:rsidR="00334756" w:rsidRPr="00334756" w:rsidRDefault="00334756" w:rsidP="00334756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5A3122F3" w14:textId="77777777" w:rsidR="00334756" w:rsidRDefault="00334756" w:rsidP="00334756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334756">
              <w:rPr>
                <w:rFonts w:ascii="Times New Roman" w:hAnsi="Times New Roman"/>
                <w:color w:val="000000"/>
                <w:spacing w:val="-2"/>
              </w:rPr>
              <w:t>Wprowadzenie zasady automatycznego generowania oraz udostępniania elektronicznego potwierdzenia wniesienia pisma procesowego</w:t>
            </w:r>
            <w:r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  <w:p w14:paraId="2A169F04" w14:textId="77777777" w:rsidR="00334756" w:rsidRDefault="00334756" w:rsidP="00334756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40DF3505" w14:textId="77777777" w:rsidR="00A5108E" w:rsidRPr="00B37C80" w:rsidRDefault="00A5108E" w:rsidP="00DE3780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Podpisywanie pism wnoszonych za pośrednictwem portalu informacyjnego</w:t>
            </w:r>
            <w:r w:rsidR="003B1481">
              <w:t xml:space="preserve"> </w:t>
            </w:r>
            <w:r w:rsidR="003B1481" w:rsidRPr="003B1481">
              <w:rPr>
                <w:rFonts w:ascii="Times New Roman" w:hAnsi="Times New Roman"/>
                <w:color w:val="000000"/>
                <w:spacing w:val="-2"/>
              </w:rPr>
              <w:t>zaawansowanym podpisem elektronicznym wydawanym przez właściwe jednostki organizacyjne prokuratury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. </w:t>
            </w:r>
          </w:p>
        </w:tc>
      </w:tr>
      <w:tr w:rsidR="00935BCD" w:rsidRPr="008B4FE6" w14:paraId="21C5FF11" w14:textId="77777777" w:rsidTr="00B753DA">
        <w:trPr>
          <w:trHeight w:val="142"/>
        </w:trPr>
        <w:tc>
          <w:tcPr>
            <w:tcW w:w="2525" w:type="dxa"/>
            <w:gridSpan w:val="2"/>
          </w:tcPr>
          <w:p w14:paraId="3673849F" w14:textId="77777777" w:rsidR="00935BCD" w:rsidRPr="0017668E" w:rsidRDefault="00935BCD" w:rsidP="00935BCD">
            <w:pPr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Prokuratoria Generalna</w:t>
            </w:r>
            <w:r w:rsidR="00D15A07">
              <w:rPr>
                <w:rFonts w:ascii="Times New Roman" w:hAnsi="Times New Roman"/>
                <w:color w:val="000000"/>
                <w:spacing w:val="-2"/>
              </w:rPr>
              <w:t xml:space="preserve"> Rzeczypospolitej Polskiej</w:t>
            </w:r>
          </w:p>
        </w:tc>
        <w:tc>
          <w:tcPr>
            <w:tcW w:w="2149" w:type="dxa"/>
            <w:gridSpan w:val="5"/>
          </w:tcPr>
          <w:p w14:paraId="08B38F9F" w14:textId="77777777" w:rsidR="00935BCD" w:rsidRPr="0017668E" w:rsidRDefault="00935BCD" w:rsidP="00935BCD">
            <w:pPr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1</w:t>
            </w:r>
          </w:p>
        </w:tc>
        <w:tc>
          <w:tcPr>
            <w:tcW w:w="1805" w:type="dxa"/>
            <w:gridSpan w:val="9"/>
          </w:tcPr>
          <w:p w14:paraId="6B9981A7" w14:textId="77777777" w:rsidR="00935BCD" w:rsidRPr="0017668E" w:rsidRDefault="00935BCD" w:rsidP="00935BCD">
            <w:pPr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Informacja ogólnodostępna</w:t>
            </w:r>
          </w:p>
        </w:tc>
        <w:tc>
          <w:tcPr>
            <w:tcW w:w="4529" w:type="dxa"/>
            <w:gridSpan w:val="13"/>
          </w:tcPr>
          <w:p w14:paraId="7B0FDB07" w14:textId="77777777" w:rsidR="00935BCD" w:rsidRDefault="00296CD5" w:rsidP="00935BC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96CD5">
              <w:rPr>
                <w:rFonts w:ascii="Times New Roman" w:hAnsi="Times New Roman"/>
                <w:color w:val="000000"/>
                <w:spacing w:val="-2"/>
              </w:rPr>
              <w:t>Ustanowienie procedury wnoszenia pisma za pośrednictwem portalu informacyjnego.</w:t>
            </w:r>
          </w:p>
          <w:p w14:paraId="2A528305" w14:textId="77777777" w:rsidR="00334756" w:rsidRDefault="00334756" w:rsidP="00935BC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3A792AD0" w14:textId="77777777" w:rsidR="00334756" w:rsidRPr="00334756" w:rsidRDefault="00334756" w:rsidP="0033475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334756">
              <w:rPr>
                <w:rFonts w:ascii="Times New Roman" w:hAnsi="Times New Roman"/>
                <w:color w:val="000000"/>
                <w:spacing w:val="-2"/>
              </w:rPr>
              <w:t>Określenie formatu, maksymalnego rozmiaru, wymagań dotyczących nazewnictwa i wymagań technicznych dla pism i załączników wnoszonych za pośrednictwem portalu informacyjnego.</w:t>
            </w:r>
          </w:p>
          <w:p w14:paraId="556C38CA" w14:textId="77777777" w:rsidR="00334756" w:rsidRPr="00334756" w:rsidRDefault="00334756" w:rsidP="0033475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33CB854F" w14:textId="77777777" w:rsidR="00334756" w:rsidRPr="00B37C80" w:rsidRDefault="00334756" w:rsidP="0033475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334756">
              <w:rPr>
                <w:rFonts w:ascii="Times New Roman" w:hAnsi="Times New Roman"/>
                <w:color w:val="000000"/>
                <w:spacing w:val="-2"/>
              </w:rPr>
              <w:t>Wprowadzenie zasady automatycznego generowania oraz udostępniania elektronicznego potwierdzenia wniesienia pisma procesowego</w:t>
            </w:r>
          </w:p>
        </w:tc>
      </w:tr>
      <w:tr w:rsidR="00BE31BA" w:rsidRPr="008B4FE6" w14:paraId="71C0F0A4" w14:textId="77777777" w:rsidTr="00B753DA">
        <w:trPr>
          <w:trHeight w:val="58"/>
        </w:trPr>
        <w:tc>
          <w:tcPr>
            <w:tcW w:w="2525" w:type="dxa"/>
            <w:gridSpan w:val="2"/>
          </w:tcPr>
          <w:p w14:paraId="43D70113" w14:textId="77777777" w:rsidR="00CA0E2E" w:rsidRPr="008B4FE6" w:rsidRDefault="00CA0E2E" w:rsidP="00DE3780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082F07">
              <w:rPr>
                <w:rFonts w:ascii="Times New Roman" w:hAnsi="Times New Roman"/>
                <w:color w:val="000000"/>
                <w:spacing w:val="-2"/>
              </w:rPr>
              <w:t>Adwokaci</w:t>
            </w:r>
          </w:p>
        </w:tc>
        <w:tc>
          <w:tcPr>
            <w:tcW w:w="2149" w:type="dxa"/>
            <w:gridSpan w:val="5"/>
          </w:tcPr>
          <w:p w14:paraId="2A50FDD6" w14:textId="77777777" w:rsidR="00CA0E2E" w:rsidRDefault="00CA0E2E" w:rsidP="00DE3780">
            <w:pPr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F72C5C">
              <w:rPr>
                <w:rFonts w:ascii="Times New Roman" w:hAnsi="Times New Roman"/>
                <w:color w:val="000000"/>
                <w:spacing w:val="-2"/>
              </w:rPr>
              <w:t>2</w:t>
            </w:r>
            <w:r w:rsidR="00DC5CB3">
              <w:rPr>
                <w:rFonts w:ascii="Times New Roman" w:hAnsi="Times New Roman"/>
                <w:color w:val="000000"/>
                <w:spacing w:val="-2"/>
              </w:rPr>
              <w:t>3 180 wykonujących zawód</w:t>
            </w:r>
          </w:p>
          <w:p w14:paraId="0026BC9C" w14:textId="77777777" w:rsidR="00CA0E2E" w:rsidRDefault="00CA0E2E" w:rsidP="00DE3780">
            <w:pPr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stan na 0</w:t>
            </w:r>
            <w:r w:rsidR="00DC5CB3">
              <w:rPr>
                <w:rFonts w:ascii="Times New Roman" w:hAnsi="Times New Roman"/>
                <w:color w:val="000000"/>
                <w:spacing w:val="-2"/>
              </w:rPr>
              <w:t>5</w:t>
            </w:r>
            <w:r>
              <w:rPr>
                <w:rFonts w:ascii="Times New Roman" w:hAnsi="Times New Roman"/>
                <w:color w:val="000000"/>
                <w:spacing w:val="-2"/>
              </w:rPr>
              <w:t>.0</w:t>
            </w:r>
            <w:r w:rsidR="00DC5CB3">
              <w:rPr>
                <w:rFonts w:ascii="Times New Roman" w:hAnsi="Times New Roman"/>
                <w:color w:val="000000"/>
                <w:spacing w:val="-2"/>
              </w:rPr>
              <w:t>9</w:t>
            </w:r>
            <w:r>
              <w:rPr>
                <w:rFonts w:ascii="Times New Roman" w:hAnsi="Times New Roman"/>
                <w:color w:val="000000"/>
                <w:spacing w:val="-2"/>
              </w:rPr>
              <w:t>.2025 r.</w:t>
            </w:r>
          </w:p>
          <w:p w14:paraId="691E532F" w14:textId="77777777" w:rsidR="00CA0E2E" w:rsidRPr="00B37C80" w:rsidRDefault="00CA0E2E" w:rsidP="00DE3780">
            <w:pPr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1805" w:type="dxa"/>
            <w:gridSpan w:val="9"/>
          </w:tcPr>
          <w:p w14:paraId="4B6A19DA" w14:textId="77777777" w:rsidR="00CA0E2E" w:rsidRPr="00B37C80" w:rsidRDefault="00CA0E2E" w:rsidP="00DE3780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082F07">
              <w:rPr>
                <w:rFonts w:ascii="Times New Roman" w:hAnsi="Times New Roman"/>
                <w:color w:val="000000"/>
                <w:spacing w:val="-2"/>
              </w:rPr>
              <w:t xml:space="preserve">Krajowy Rejestr Adwokatów </w:t>
            </w:r>
            <w:r w:rsidRPr="00082F07">
              <w:rPr>
                <w:rFonts w:ascii="Times New Roman" w:hAnsi="Times New Roman"/>
                <w:color w:val="000000"/>
                <w:spacing w:val="-2"/>
              </w:rPr>
              <w:br/>
              <w:t>i Aplikantów Adwokackich</w:t>
            </w:r>
          </w:p>
        </w:tc>
        <w:tc>
          <w:tcPr>
            <w:tcW w:w="4529" w:type="dxa"/>
            <w:gridSpan w:val="13"/>
            <w:vMerge w:val="restart"/>
          </w:tcPr>
          <w:p w14:paraId="406E9803" w14:textId="77777777" w:rsidR="00CA0E2E" w:rsidRDefault="00296CD5" w:rsidP="00DE3780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96CD5">
              <w:rPr>
                <w:rFonts w:ascii="Times New Roman" w:hAnsi="Times New Roman"/>
                <w:color w:val="000000"/>
                <w:spacing w:val="-2"/>
              </w:rPr>
              <w:t>Ustanowienie procedury wnoszenia pisma za pośrednictwem portalu informacyjnego.</w:t>
            </w:r>
          </w:p>
          <w:p w14:paraId="6DCA806E" w14:textId="77777777" w:rsidR="00334756" w:rsidRDefault="00334756" w:rsidP="00DE3780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0CADF7E5" w14:textId="77777777" w:rsidR="00334756" w:rsidRPr="00334756" w:rsidRDefault="00334756" w:rsidP="00334756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334756">
              <w:rPr>
                <w:rFonts w:ascii="Times New Roman" w:hAnsi="Times New Roman"/>
                <w:color w:val="000000"/>
                <w:spacing w:val="-2"/>
              </w:rPr>
              <w:t>Określenie formatu, maksymalnego rozmiaru, wymagań dotyczących nazewnictwa i wymagań technicznych dla pism i załączników wnoszonych za pośrednictwem portalu informacyjnego.</w:t>
            </w:r>
          </w:p>
          <w:p w14:paraId="090BD074" w14:textId="77777777" w:rsidR="00334756" w:rsidRPr="00334756" w:rsidRDefault="00334756" w:rsidP="00334756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2548B7D3" w14:textId="77777777" w:rsidR="00334756" w:rsidRPr="00B37C80" w:rsidRDefault="00334756" w:rsidP="00334756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334756">
              <w:rPr>
                <w:rFonts w:ascii="Times New Roman" w:hAnsi="Times New Roman"/>
                <w:color w:val="000000"/>
                <w:spacing w:val="-2"/>
              </w:rPr>
              <w:t>Wprowadzenie zasady automatycznego generowania oraz udostępniania elektronicznego potwierdzenia wniesienia pisma procesowego</w:t>
            </w:r>
            <w:r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BE31BA" w:rsidRPr="008B4FE6" w14:paraId="30E2A9AF" w14:textId="77777777" w:rsidTr="00B753DA">
        <w:trPr>
          <w:trHeight w:val="142"/>
        </w:trPr>
        <w:tc>
          <w:tcPr>
            <w:tcW w:w="2525" w:type="dxa"/>
            <w:gridSpan w:val="2"/>
          </w:tcPr>
          <w:p w14:paraId="11DCBF5D" w14:textId="77777777" w:rsidR="00CA0E2E" w:rsidRPr="00082F07" w:rsidRDefault="00CA0E2E" w:rsidP="00DE3780">
            <w:pPr>
              <w:tabs>
                <w:tab w:val="left" w:pos="1560"/>
              </w:tabs>
              <w:rPr>
                <w:rFonts w:ascii="Times New Roman" w:hAnsi="Times New Roman"/>
                <w:color w:val="000000"/>
                <w:spacing w:val="-2"/>
              </w:rPr>
            </w:pPr>
            <w:r w:rsidRPr="00082F07">
              <w:rPr>
                <w:rFonts w:ascii="Times New Roman" w:hAnsi="Times New Roman"/>
                <w:color w:val="000000"/>
                <w:spacing w:val="-2"/>
              </w:rPr>
              <w:t>Radcowie prawni</w:t>
            </w:r>
          </w:p>
        </w:tc>
        <w:tc>
          <w:tcPr>
            <w:tcW w:w="2149" w:type="dxa"/>
            <w:gridSpan w:val="5"/>
          </w:tcPr>
          <w:p w14:paraId="5CA608F5" w14:textId="77777777" w:rsidR="00CA0E2E" w:rsidRDefault="00CA0E2E" w:rsidP="00DE3780">
            <w:pPr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6469AB">
              <w:rPr>
                <w:rFonts w:ascii="Times New Roman" w:hAnsi="Times New Roman"/>
                <w:color w:val="000000"/>
                <w:spacing w:val="-2"/>
              </w:rPr>
              <w:t>5</w:t>
            </w:r>
            <w:r w:rsidR="00DC5CB3">
              <w:rPr>
                <w:rFonts w:ascii="Times New Roman" w:hAnsi="Times New Roman"/>
                <w:color w:val="000000"/>
                <w:spacing w:val="-2"/>
              </w:rPr>
              <w:t>6 152 wykonujących zawód</w:t>
            </w:r>
          </w:p>
          <w:p w14:paraId="68B2855B" w14:textId="77777777" w:rsidR="00CA0E2E" w:rsidRPr="00B37C80" w:rsidRDefault="00CA0E2E" w:rsidP="00DE3780">
            <w:pPr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stan na 0</w:t>
            </w:r>
            <w:r w:rsidR="00DC5CB3">
              <w:rPr>
                <w:rFonts w:ascii="Times New Roman" w:hAnsi="Times New Roman"/>
                <w:color w:val="000000"/>
                <w:spacing w:val="-2"/>
              </w:rPr>
              <w:t>5</w:t>
            </w:r>
            <w:r>
              <w:rPr>
                <w:rFonts w:ascii="Times New Roman" w:hAnsi="Times New Roman"/>
                <w:color w:val="000000"/>
                <w:spacing w:val="-2"/>
              </w:rPr>
              <w:t>.0</w:t>
            </w:r>
            <w:r w:rsidR="00DC5CB3">
              <w:rPr>
                <w:rFonts w:ascii="Times New Roman" w:hAnsi="Times New Roman"/>
                <w:color w:val="000000"/>
                <w:spacing w:val="-2"/>
              </w:rPr>
              <w:t>9</w:t>
            </w:r>
            <w:r>
              <w:rPr>
                <w:rFonts w:ascii="Times New Roman" w:hAnsi="Times New Roman"/>
                <w:color w:val="000000"/>
                <w:spacing w:val="-2"/>
              </w:rPr>
              <w:t>.2025 r.</w:t>
            </w:r>
          </w:p>
        </w:tc>
        <w:tc>
          <w:tcPr>
            <w:tcW w:w="1805" w:type="dxa"/>
            <w:gridSpan w:val="9"/>
          </w:tcPr>
          <w:p w14:paraId="23B2D28C" w14:textId="77777777" w:rsidR="00CA0E2E" w:rsidRPr="00B37C80" w:rsidRDefault="00CA0E2E" w:rsidP="00DE3780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082F07">
              <w:rPr>
                <w:rFonts w:ascii="Times New Roman" w:hAnsi="Times New Roman"/>
                <w:color w:val="000000"/>
                <w:spacing w:val="-2"/>
              </w:rPr>
              <w:t>Krajowa Izba Radców Prawnych</w:t>
            </w:r>
          </w:p>
        </w:tc>
        <w:tc>
          <w:tcPr>
            <w:tcW w:w="4529" w:type="dxa"/>
            <w:gridSpan w:val="13"/>
            <w:vMerge/>
          </w:tcPr>
          <w:p w14:paraId="1E43FA36" w14:textId="77777777" w:rsidR="00CA0E2E" w:rsidRPr="00B37C80" w:rsidRDefault="00CA0E2E" w:rsidP="00DE3780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D1226A" w:rsidRPr="008B4FE6" w14:paraId="46FDA6CA" w14:textId="77777777" w:rsidTr="00B753DA">
        <w:trPr>
          <w:trHeight w:val="142"/>
        </w:trPr>
        <w:tc>
          <w:tcPr>
            <w:tcW w:w="2525" w:type="dxa"/>
            <w:gridSpan w:val="2"/>
            <w:tcBorders>
              <w:bottom w:val="single" w:sz="4" w:space="0" w:color="auto"/>
            </w:tcBorders>
          </w:tcPr>
          <w:p w14:paraId="02945DAB" w14:textId="77777777" w:rsidR="00D1226A" w:rsidRPr="00082F07" w:rsidRDefault="00D1226A" w:rsidP="00D1226A">
            <w:pPr>
              <w:tabs>
                <w:tab w:val="left" w:pos="1560"/>
              </w:tabs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Obywatele</w:t>
            </w:r>
          </w:p>
        </w:tc>
        <w:tc>
          <w:tcPr>
            <w:tcW w:w="2149" w:type="dxa"/>
            <w:gridSpan w:val="5"/>
          </w:tcPr>
          <w:p w14:paraId="10DA1A5A" w14:textId="77777777" w:rsidR="00D1226A" w:rsidRPr="00B37C80" w:rsidRDefault="00D1226A" w:rsidP="00D1226A">
            <w:pPr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D1226A">
              <w:rPr>
                <w:rFonts w:ascii="Times New Roman" w:hAnsi="Times New Roman"/>
                <w:color w:val="000000"/>
                <w:spacing w:val="-2"/>
              </w:rPr>
              <w:t>37</w:t>
            </w:r>
            <w:r>
              <w:rPr>
                <w:rFonts w:ascii="Times New Roman" w:hAnsi="Times New Roman"/>
                <w:color w:val="000000"/>
                <w:spacing w:val="-2"/>
              </w:rPr>
              <w:t> </w:t>
            </w:r>
            <w:r w:rsidRPr="00D1226A">
              <w:rPr>
                <w:rFonts w:ascii="Times New Roman" w:hAnsi="Times New Roman"/>
                <w:color w:val="000000"/>
                <w:spacing w:val="-2"/>
              </w:rPr>
              <w:t>385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tys. (dane z sierpnia 2025 r.)</w:t>
            </w:r>
          </w:p>
        </w:tc>
        <w:tc>
          <w:tcPr>
            <w:tcW w:w="1805" w:type="dxa"/>
            <w:gridSpan w:val="9"/>
          </w:tcPr>
          <w:p w14:paraId="1A31AF23" w14:textId="77777777" w:rsidR="00D1226A" w:rsidRPr="00B37C80" w:rsidRDefault="00D1226A" w:rsidP="00D1226A">
            <w:pPr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Główny Urząd Statystyczny</w:t>
            </w:r>
          </w:p>
        </w:tc>
        <w:tc>
          <w:tcPr>
            <w:tcW w:w="4529" w:type="dxa"/>
            <w:gridSpan w:val="13"/>
            <w:tcBorders>
              <w:bottom w:val="single" w:sz="4" w:space="0" w:color="auto"/>
            </w:tcBorders>
          </w:tcPr>
          <w:p w14:paraId="7F18A448" w14:textId="77777777" w:rsidR="00D1226A" w:rsidRDefault="00296CD5" w:rsidP="00D1226A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96CD5">
              <w:rPr>
                <w:rFonts w:ascii="Times New Roman" w:hAnsi="Times New Roman"/>
                <w:color w:val="000000"/>
                <w:spacing w:val="-2"/>
              </w:rPr>
              <w:t>Ustanowienie procedury wnoszenia pisma za pośrednictwem portalu informacyjnego.</w:t>
            </w:r>
          </w:p>
          <w:p w14:paraId="6F6364CD" w14:textId="77777777" w:rsidR="00334756" w:rsidRDefault="00334756" w:rsidP="00D1226A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531EF60C" w14:textId="77777777" w:rsidR="00334756" w:rsidRPr="00334756" w:rsidRDefault="00334756" w:rsidP="00334756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334756">
              <w:rPr>
                <w:rFonts w:ascii="Times New Roman" w:hAnsi="Times New Roman"/>
                <w:color w:val="000000"/>
                <w:spacing w:val="-2"/>
              </w:rPr>
              <w:t>Określenie formatu, maksymalnego rozmiaru, wymagań dotyczących nazewnictwa i wymagań technicznych dla pism i załączników wnoszonych za pośrednictwem portalu informacyjnego.</w:t>
            </w:r>
          </w:p>
          <w:p w14:paraId="65D201A6" w14:textId="77777777" w:rsidR="00334756" w:rsidRPr="00334756" w:rsidRDefault="00334756" w:rsidP="00334756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44962E99" w14:textId="77777777" w:rsidR="00334756" w:rsidRDefault="00334756" w:rsidP="00334756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334756">
              <w:rPr>
                <w:rFonts w:ascii="Times New Roman" w:hAnsi="Times New Roman"/>
                <w:color w:val="000000"/>
                <w:spacing w:val="-2"/>
              </w:rPr>
              <w:t>Wprowadzenie zasady automatycznego generowania oraz udostępniania elektronicznego potwierdzenia wniesienia pisma procesowego</w:t>
            </w:r>
            <w:r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  <w:p w14:paraId="50866FA2" w14:textId="77777777" w:rsidR="006522DE" w:rsidRDefault="006522DE" w:rsidP="00334756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507581B4" w14:textId="77777777" w:rsidR="006522DE" w:rsidRPr="00B37C80" w:rsidRDefault="006522DE" w:rsidP="00334756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Wzmocnienie pewności obrotu prawnego.</w:t>
            </w:r>
          </w:p>
        </w:tc>
      </w:tr>
      <w:tr w:rsidR="006A701A" w:rsidRPr="008B4FE6" w14:paraId="3A7C5BFA" w14:textId="77777777" w:rsidTr="00B753DA">
        <w:trPr>
          <w:trHeight w:val="302"/>
        </w:trPr>
        <w:tc>
          <w:tcPr>
            <w:tcW w:w="11008" w:type="dxa"/>
            <w:gridSpan w:val="29"/>
            <w:tcBorders>
              <w:top w:val="single" w:sz="4" w:space="0" w:color="auto"/>
            </w:tcBorders>
            <w:shd w:val="clear" w:color="auto" w:fill="99CCFF"/>
            <w:vAlign w:val="center"/>
          </w:tcPr>
          <w:p w14:paraId="0BF46967" w14:textId="77777777" w:rsidR="006A701A" w:rsidRPr="008B4FE6" w:rsidRDefault="001B3460">
            <w:pPr>
              <w:numPr>
                <w:ilvl w:val="0"/>
                <w:numId w:val="1"/>
              </w:numPr>
              <w:spacing w:before="60" w:after="60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Informacje na temat</w:t>
            </w:r>
            <w:r>
              <w:rPr>
                <w:rFonts w:ascii="Times New Roman" w:hAnsi="Times New Roman"/>
                <w:b/>
                <w:color w:val="000000"/>
              </w:rPr>
              <w:t xml:space="preserve"> zakresu</w:t>
            </w:r>
            <w:r w:rsidR="0076658F">
              <w:rPr>
                <w:rFonts w:ascii="Times New Roman" w:hAnsi="Times New Roman"/>
                <w:b/>
                <w:color w:val="000000"/>
              </w:rPr>
              <w:t>,</w:t>
            </w:r>
            <w:r>
              <w:rPr>
                <w:rFonts w:ascii="Times New Roman" w:hAnsi="Times New Roman"/>
                <w:b/>
                <w:color w:val="000000"/>
              </w:rPr>
              <w:t xml:space="preserve"> czasu trwania </w:t>
            </w:r>
            <w:r w:rsidR="0076658F">
              <w:rPr>
                <w:rFonts w:ascii="Times New Roman" w:hAnsi="Times New Roman"/>
                <w:b/>
                <w:color w:val="000000"/>
              </w:rPr>
              <w:t xml:space="preserve">i podsumowanie wyników </w:t>
            </w:r>
            <w:r w:rsidRPr="008B4FE6">
              <w:rPr>
                <w:rFonts w:ascii="Times New Roman" w:hAnsi="Times New Roman"/>
                <w:b/>
                <w:color w:val="000000"/>
              </w:rPr>
              <w:t>konsultacji</w:t>
            </w:r>
          </w:p>
        </w:tc>
      </w:tr>
      <w:tr w:rsidR="006A701A" w:rsidRPr="008B4FE6" w14:paraId="2FD17B33" w14:textId="77777777" w:rsidTr="00B753DA">
        <w:trPr>
          <w:trHeight w:val="342"/>
        </w:trPr>
        <w:tc>
          <w:tcPr>
            <w:tcW w:w="11008" w:type="dxa"/>
            <w:gridSpan w:val="29"/>
            <w:shd w:val="clear" w:color="auto" w:fill="FFFFFF"/>
          </w:tcPr>
          <w:p w14:paraId="4FE14B34" w14:textId="3086E842" w:rsidR="00277044" w:rsidRDefault="00036083" w:rsidP="00436710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036083">
              <w:rPr>
                <w:rFonts w:ascii="Times New Roman" w:hAnsi="Times New Roman"/>
                <w:color w:val="000000"/>
                <w:spacing w:val="-2"/>
              </w:rPr>
              <w:t>Zgodnie z § 52 uchwały nr 190 Rady Ministrów z dnia 29 października 2013 r. – Regulamin pracy Rady Ministrów (M.P. z 2024 r. poz. 806</w:t>
            </w:r>
            <w:r w:rsidR="008A563B">
              <w:rPr>
                <w:rFonts w:ascii="Times New Roman" w:hAnsi="Times New Roman"/>
                <w:color w:val="000000"/>
                <w:spacing w:val="-2"/>
              </w:rPr>
              <w:t>, z późn. zm.</w:t>
            </w:r>
            <w:r w:rsidRPr="00036083">
              <w:rPr>
                <w:rFonts w:ascii="Times New Roman" w:hAnsi="Times New Roman"/>
                <w:color w:val="000000"/>
                <w:spacing w:val="-2"/>
              </w:rPr>
              <w:t>) oraz stosownie do wymogów art. 5 ustawy z dnia 7 lipca 2005 r. o działalności lobbingowej w procesie stanowienia prawa (Dz. U. z 2025 r. poz. 677) projekt zosta</w:t>
            </w:r>
            <w:r w:rsidR="003A5DA6">
              <w:rPr>
                <w:rFonts w:ascii="Times New Roman" w:hAnsi="Times New Roman"/>
                <w:color w:val="000000"/>
                <w:spacing w:val="-2"/>
              </w:rPr>
              <w:t>ł</w:t>
            </w:r>
            <w:r w:rsidRPr="00036083">
              <w:rPr>
                <w:rFonts w:ascii="Times New Roman" w:hAnsi="Times New Roman"/>
                <w:color w:val="000000"/>
                <w:spacing w:val="-2"/>
              </w:rPr>
              <w:t xml:space="preserve"> udostępniony w Biuletynie Informacji Publicznej na stronie podmiotowej Rządowego Centrum Legislacji w serwisie Rządowy Proces Legislacyjny.</w:t>
            </w:r>
          </w:p>
          <w:p w14:paraId="110EEB60" w14:textId="428905D1" w:rsidR="00B15F60" w:rsidRPr="00DA3F2D" w:rsidRDefault="00B15F60" w:rsidP="00DA3F2D">
            <w:pPr>
              <w:rPr>
                <w:rFonts w:ascii="Times New Roman" w:hAnsi="Times New Roman"/>
                <w:color w:val="000000"/>
                <w:spacing w:val="-2"/>
                <w:u w:val="single"/>
              </w:rPr>
            </w:pPr>
            <w:r w:rsidRPr="00DA3F2D">
              <w:rPr>
                <w:rFonts w:ascii="Times New Roman" w:hAnsi="Times New Roman"/>
                <w:color w:val="000000"/>
                <w:spacing w:val="-2"/>
                <w:u w:val="single"/>
              </w:rPr>
              <w:t xml:space="preserve">W ramach opiniowania projekt </w:t>
            </w:r>
            <w:r w:rsidRPr="001F7E21">
              <w:rPr>
                <w:rFonts w:ascii="Times New Roman" w:hAnsi="Times New Roman"/>
                <w:color w:val="000000"/>
                <w:spacing w:val="-2"/>
                <w:u w:val="single"/>
              </w:rPr>
              <w:t>został</w:t>
            </w:r>
            <w:r w:rsidRPr="00DA3F2D">
              <w:rPr>
                <w:rFonts w:ascii="Times New Roman" w:hAnsi="Times New Roman"/>
                <w:color w:val="000000"/>
                <w:spacing w:val="-2"/>
                <w:u w:val="single"/>
              </w:rPr>
              <w:t xml:space="preserve"> pr</w:t>
            </w:r>
            <w:r w:rsidR="001F7E21" w:rsidRPr="00DA3F2D">
              <w:rPr>
                <w:rFonts w:ascii="Times New Roman" w:hAnsi="Times New Roman"/>
                <w:color w:val="000000"/>
                <w:spacing w:val="-2"/>
                <w:u w:val="single"/>
              </w:rPr>
              <w:t>z</w:t>
            </w:r>
            <w:r w:rsidRPr="00DA3F2D">
              <w:rPr>
                <w:rFonts w:ascii="Times New Roman" w:hAnsi="Times New Roman"/>
                <w:color w:val="000000"/>
                <w:spacing w:val="-2"/>
                <w:u w:val="single"/>
              </w:rPr>
              <w:t>ekazany następującym podmiotom:</w:t>
            </w:r>
          </w:p>
          <w:p w14:paraId="0468816B" w14:textId="77777777" w:rsidR="00B15F60" w:rsidRPr="00B15F60" w:rsidRDefault="00B15F60" w:rsidP="00DA3F2D">
            <w:pPr>
              <w:numPr>
                <w:ilvl w:val="0"/>
                <w:numId w:val="6"/>
              </w:numPr>
              <w:ind w:left="459" w:hanging="459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bookmarkStart w:id="3" w:name="_Hlk215656608"/>
            <w:r w:rsidRPr="00B15F60">
              <w:rPr>
                <w:rFonts w:ascii="Times New Roman" w:hAnsi="Times New Roman"/>
                <w:color w:val="000000"/>
                <w:spacing w:val="-2"/>
              </w:rPr>
              <w:t>Prokurator Krajowy;</w:t>
            </w:r>
          </w:p>
          <w:p w14:paraId="38399A8C" w14:textId="77777777" w:rsidR="00B15F60" w:rsidRPr="00B15F60" w:rsidRDefault="00B15F60" w:rsidP="00DA3F2D">
            <w:pPr>
              <w:numPr>
                <w:ilvl w:val="0"/>
                <w:numId w:val="6"/>
              </w:numPr>
              <w:ind w:left="459" w:hanging="459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B15F60">
              <w:rPr>
                <w:rFonts w:ascii="Times New Roman" w:hAnsi="Times New Roman"/>
                <w:color w:val="000000"/>
                <w:spacing w:val="-2"/>
              </w:rPr>
              <w:t>Sąd Najwyższy;</w:t>
            </w:r>
          </w:p>
          <w:p w14:paraId="14EABAF0" w14:textId="77777777" w:rsidR="00B15F60" w:rsidRPr="00B15F60" w:rsidRDefault="00B15F60" w:rsidP="00DA3F2D">
            <w:pPr>
              <w:numPr>
                <w:ilvl w:val="0"/>
                <w:numId w:val="6"/>
              </w:numPr>
              <w:ind w:left="459" w:hanging="459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B15F60">
              <w:rPr>
                <w:rFonts w:ascii="Times New Roman" w:hAnsi="Times New Roman"/>
                <w:color w:val="000000"/>
                <w:spacing w:val="-2"/>
              </w:rPr>
              <w:t>Prezesi Sądów Apelacyjnych (po uzyskaniu stanowiska prezesów sądów okręgowych i rejonowych – odpowiedź zbiorcza);</w:t>
            </w:r>
          </w:p>
          <w:p w14:paraId="0C124702" w14:textId="28A46AF9" w:rsidR="00B15F60" w:rsidRPr="00B15F60" w:rsidRDefault="00B15F60" w:rsidP="00DA3F2D">
            <w:pPr>
              <w:numPr>
                <w:ilvl w:val="0"/>
                <w:numId w:val="6"/>
              </w:numPr>
              <w:ind w:left="459" w:hanging="459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B15F60">
              <w:rPr>
                <w:rFonts w:ascii="Times New Roman" w:hAnsi="Times New Roman"/>
                <w:color w:val="000000"/>
                <w:spacing w:val="-2"/>
              </w:rPr>
              <w:t>Prokuratorzy Regionalni (po uzyskaniu stanowiska prokuratorów okręgowych i rejonowych);</w:t>
            </w:r>
          </w:p>
          <w:p w14:paraId="343AC595" w14:textId="46A8A0AF" w:rsidR="00B15F60" w:rsidRPr="00B15F60" w:rsidRDefault="00B15F60" w:rsidP="00DA3F2D">
            <w:pPr>
              <w:numPr>
                <w:ilvl w:val="0"/>
                <w:numId w:val="6"/>
              </w:numPr>
              <w:ind w:left="459" w:hanging="459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B15F60">
              <w:rPr>
                <w:rFonts w:ascii="Times New Roman" w:hAnsi="Times New Roman"/>
                <w:color w:val="000000"/>
                <w:spacing w:val="-2"/>
              </w:rPr>
              <w:t>Rzecznik Praw Obywatelskich;</w:t>
            </w:r>
          </w:p>
          <w:p w14:paraId="4DBAC543" w14:textId="77777777" w:rsidR="00B15F60" w:rsidRPr="00B15F60" w:rsidRDefault="00B15F60" w:rsidP="00DA3F2D">
            <w:pPr>
              <w:numPr>
                <w:ilvl w:val="0"/>
                <w:numId w:val="6"/>
              </w:numPr>
              <w:ind w:left="459" w:hanging="459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B15F60">
              <w:rPr>
                <w:rFonts w:ascii="Times New Roman" w:hAnsi="Times New Roman"/>
                <w:color w:val="000000"/>
                <w:spacing w:val="-2"/>
              </w:rPr>
              <w:t>Naczelna Rada Adwokacka;</w:t>
            </w:r>
          </w:p>
          <w:p w14:paraId="112E76E8" w14:textId="77777777" w:rsidR="00B15F60" w:rsidRPr="00B15F60" w:rsidRDefault="00B15F60" w:rsidP="00DA3F2D">
            <w:pPr>
              <w:numPr>
                <w:ilvl w:val="0"/>
                <w:numId w:val="6"/>
              </w:numPr>
              <w:ind w:left="459" w:hanging="459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B15F60">
              <w:rPr>
                <w:rFonts w:ascii="Times New Roman" w:hAnsi="Times New Roman"/>
                <w:color w:val="000000"/>
                <w:spacing w:val="-2"/>
              </w:rPr>
              <w:t>Krajowa Rada Sądownictwa;</w:t>
            </w:r>
          </w:p>
          <w:p w14:paraId="3E945469" w14:textId="77777777" w:rsidR="00B15F60" w:rsidRPr="00B15F60" w:rsidRDefault="00B15F60" w:rsidP="00DA3F2D">
            <w:pPr>
              <w:numPr>
                <w:ilvl w:val="0"/>
                <w:numId w:val="6"/>
              </w:numPr>
              <w:ind w:left="459" w:hanging="459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B15F60">
              <w:rPr>
                <w:rFonts w:ascii="Times New Roman" w:hAnsi="Times New Roman"/>
                <w:color w:val="000000"/>
                <w:spacing w:val="-2"/>
              </w:rPr>
              <w:t>Krajowa Rada Prokuratorów;</w:t>
            </w:r>
          </w:p>
          <w:p w14:paraId="5B77077A" w14:textId="77777777" w:rsidR="00B15F60" w:rsidRPr="00B15F60" w:rsidRDefault="00B15F60" w:rsidP="00DA3F2D">
            <w:pPr>
              <w:numPr>
                <w:ilvl w:val="0"/>
                <w:numId w:val="6"/>
              </w:numPr>
              <w:ind w:left="459" w:hanging="459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B15F60">
              <w:rPr>
                <w:rFonts w:ascii="Times New Roman" w:hAnsi="Times New Roman"/>
                <w:color w:val="000000"/>
                <w:spacing w:val="-2"/>
              </w:rPr>
              <w:t>Krajowa Rada Radców Prawnych;</w:t>
            </w:r>
          </w:p>
          <w:p w14:paraId="0066AA2B" w14:textId="77777777" w:rsidR="00B15F60" w:rsidRPr="00B15F60" w:rsidRDefault="00B15F60" w:rsidP="00DA3F2D">
            <w:pPr>
              <w:numPr>
                <w:ilvl w:val="0"/>
                <w:numId w:val="6"/>
              </w:numPr>
              <w:ind w:left="459" w:hanging="459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B15F60">
              <w:rPr>
                <w:rFonts w:ascii="Times New Roman" w:hAnsi="Times New Roman"/>
                <w:color w:val="000000"/>
                <w:spacing w:val="-2"/>
              </w:rPr>
              <w:t>Prokuratoria Generalna Rzeczypospolitej Polskiej;</w:t>
            </w:r>
          </w:p>
          <w:p w14:paraId="7D9AD4BC" w14:textId="77777777" w:rsidR="00B15F60" w:rsidRPr="00B15F60" w:rsidRDefault="00B15F60" w:rsidP="00DA3F2D">
            <w:pPr>
              <w:numPr>
                <w:ilvl w:val="0"/>
                <w:numId w:val="6"/>
              </w:numPr>
              <w:spacing w:after="120"/>
              <w:ind w:left="459" w:hanging="459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B15F60">
              <w:rPr>
                <w:rFonts w:ascii="Times New Roman" w:hAnsi="Times New Roman"/>
                <w:color w:val="000000"/>
                <w:spacing w:val="-2"/>
              </w:rPr>
              <w:t>Prezes Urzędu Ochrony Danych Osobowych.</w:t>
            </w:r>
          </w:p>
          <w:bookmarkEnd w:id="3"/>
          <w:p w14:paraId="37E03B71" w14:textId="1276F06F" w:rsidR="00B15F60" w:rsidRPr="00DA3F2D" w:rsidRDefault="00B15F60" w:rsidP="00B15F60">
            <w:pPr>
              <w:jc w:val="both"/>
              <w:rPr>
                <w:rFonts w:ascii="Times New Roman" w:hAnsi="Times New Roman"/>
                <w:color w:val="000000"/>
                <w:spacing w:val="-2"/>
                <w:u w:val="single"/>
              </w:rPr>
            </w:pPr>
            <w:r w:rsidRPr="00DA3F2D">
              <w:rPr>
                <w:rFonts w:ascii="Times New Roman" w:hAnsi="Times New Roman"/>
                <w:color w:val="000000"/>
                <w:spacing w:val="-2"/>
                <w:u w:val="single"/>
              </w:rPr>
              <w:t xml:space="preserve">W ramach konsultacji publicznych projekt </w:t>
            </w:r>
            <w:r w:rsidRPr="001F7E21">
              <w:rPr>
                <w:rFonts w:ascii="Times New Roman" w:hAnsi="Times New Roman"/>
                <w:color w:val="000000"/>
                <w:spacing w:val="-2"/>
                <w:u w:val="single"/>
              </w:rPr>
              <w:t xml:space="preserve">został </w:t>
            </w:r>
            <w:r w:rsidRPr="00DA3F2D">
              <w:rPr>
                <w:rFonts w:ascii="Times New Roman" w:hAnsi="Times New Roman"/>
                <w:color w:val="000000"/>
                <w:spacing w:val="-2"/>
                <w:u w:val="single"/>
              </w:rPr>
              <w:t>przekazany następującym podmiotom</w:t>
            </w:r>
            <w:r w:rsidRPr="001F7E21">
              <w:rPr>
                <w:rFonts w:ascii="Times New Roman" w:hAnsi="Times New Roman"/>
                <w:color w:val="000000"/>
                <w:spacing w:val="-2"/>
                <w:u w:val="single"/>
              </w:rPr>
              <w:t xml:space="preserve">: </w:t>
            </w:r>
          </w:p>
          <w:p w14:paraId="30552BC1" w14:textId="77777777" w:rsidR="00B15F60" w:rsidRPr="00B15F60" w:rsidRDefault="00B15F60" w:rsidP="00DA3F2D">
            <w:pPr>
              <w:numPr>
                <w:ilvl w:val="0"/>
                <w:numId w:val="7"/>
              </w:numPr>
              <w:ind w:left="459" w:hanging="426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bookmarkStart w:id="4" w:name="_Hlk215657058"/>
            <w:r w:rsidRPr="00B15F60">
              <w:rPr>
                <w:rFonts w:ascii="Times New Roman" w:hAnsi="Times New Roman"/>
                <w:color w:val="000000"/>
                <w:spacing w:val="-2"/>
              </w:rPr>
              <w:t>Stowarzyszenie Sędziów Polskich „</w:t>
            </w:r>
            <w:proofErr w:type="spellStart"/>
            <w:r w:rsidRPr="00B15F60">
              <w:rPr>
                <w:rFonts w:ascii="Times New Roman" w:hAnsi="Times New Roman"/>
                <w:color w:val="000000"/>
                <w:spacing w:val="-2"/>
              </w:rPr>
              <w:t>Iustitia</w:t>
            </w:r>
            <w:proofErr w:type="spellEnd"/>
            <w:r w:rsidRPr="00B15F60">
              <w:rPr>
                <w:rFonts w:ascii="Times New Roman" w:hAnsi="Times New Roman"/>
                <w:color w:val="000000"/>
                <w:spacing w:val="-2"/>
              </w:rPr>
              <w:t>”;</w:t>
            </w:r>
          </w:p>
          <w:p w14:paraId="4E7C4C73" w14:textId="77777777" w:rsidR="00B15F60" w:rsidRPr="00B15F60" w:rsidRDefault="00B15F60" w:rsidP="00DA3F2D">
            <w:pPr>
              <w:numPr>
                <w:ilvl w:val="0"/>
                <w:numId w:val="7"/>
              </w:numPr>
              <w:ind w:left="459" w:hanging="426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B15F60">
              <w:rPr>
                <w:rFonts w:ascii="Times New Roman" w:hAnsi="Times New Roman"/>
                <w:color w:val="000000"/>
                <w:spacing w:val="-2"/>
              </w:rPr>
              <w:t>Stowarzyszenie Sędziów „</w:t>
            </w:r>
            <w:proofErr w:type="spellStart"/>
            <w:r w:rsidRPr="00B15F60">
              <w:rPr>
                <w:rFonts w:ascii="Times New Roman" w:hAnsi="Times New Roman"/>
                <w:color w:val="000000"/>
                <w:spacing w:val="-2"/>
              </w:rPr>
              <w:t>Themis</w:t>
            </w:r>
            <w:proofErr w:type="spellEnd"/>
            <w:r w:rsidRPr="00B15F60">
              <w:rPr>
                <w:rFonts w:ascii="Times New Roman" w:hAnsi="Times New Roman"/>
                <w:color w:val="000000"/>
                <w:spacing w:val="-2"/>
              </w:rPr>
              <w:t>”;</w:t>
            </w:r>
          </w:p>
          <w:p w14:paraId="118DC09B" w14:textId="77777777" w:rsidR="00B15F60" w:rsidRPr="00B15F60" w:rsidRDefault="00B15F60" w:rsidP="00DA3F2D">
            <w:pPr>
              <w:numPr>
                <w:ilvl w:val="0"/>
                <w:numId w:val="7"/>
              </w:numPr>
              <w:ind w:left="459" w:hanging="426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B15F60">
              <w:rPr>
                <w:rFonts w:ascii="Times New Roman" w:hAnsi="Times New Roman"/>
                <w:color w:val="000000"/>
                <w:spacing w:val="-2"/>
              </w:rPr>
              <w:t>Helsińska Fundacja Praw Człowieka;</w:t>
            </w:r>
          </w:p>
          <w:p w14:paraId="0622B235" w14:textId="77777777" w:rsidR="00B15F60" w:rsidRPr="00B15F60" w:rsidRDefault="00B15F60" w:rsidP="00DA3F2D">
            <w:pPr>
              <w:numPr>
                <w:ilvl w:val="0"/>
                <w:numId w:val="7"/>
              </w:numPr>
              <w:ind w:left="459" w:hanging="426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B15F60">
              <w:rPr>
                <w:rFonts w:ascii="Times New Roman" w:hAnsi="Times New Roman"/>
                <w:color w:val="000000"/>
                <w:spacing w:val="-2"/>
              </w:rPr>
              <w:t xml:space="preserve">Stowarzyszenie Prokuratorów „Lex Super </w:t>
            </w:r>
            <w:proofErr w:type="spellStart"/>
            <w:r w:rsidRPr="00B15F60">
              <w:rPr>
                <w:rFonts w:ascii="Times New Roman" w:hAnsi="Times New Roman"/>
                <w:color w:val="000000"/>
                <w:spacing w:val="-2"/>
              </w:rPr>
              <w:t>Omnia</w:t>
            </w:r>
            <w:proofErr w:type="spellEnd"/>
            <w:r w:rsidRPr="00B15F60">
              <w:rPr>
                <w:rFonts w:ascii="Times New Roman" w:hAnsi="Times New Roman"/>
                <w:color w:val="000000"/>
                <w:spacing w:val="-2"/>
              </w:rPr>
              <w:t>”;</w:t>
            </w:r>
          </w:p>
          <w:p w14:paraId="7C1B620F" w14:textId="77777777" w:rsidR="00B15F60" w:rsidRPr="00B15F60" w:rsidRDefault="00B15F60" w:rsidP="00DA3F2D">
            <w:pPr>
              <w:numPr>
                <w:ilvl w:val="0"/>
                <w:numId w:val="7"/>
              </w:numPr>
              <w:ind w:left="459" w:hanging="426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B15F60">
              <w:rPr>
                <w:rFonts w:ascii="Times New Roman" w:hAnsi="Times New Roman"/>
                <w:color w:val="000000"/>
                <w:spacing w:val="-2"/>
              </w:rPr>
              <w:t>Ogólnopolskie Stowarzyszenie Referendarzy Sądowych;</w:t>
            </w:r>
          </w:p>
          <w:p w14:paraId="418DCC3D" w14:textId="77777777" w:rsidR="00B15F60" w:rsidRPr="00B15F60" w:rsidRDefault="00B15F60" w:rsidP="00DA3F2D">
            <w:pPr>
              <w:numPr>
                <w:ilvl w:val="0"/>
                <w:numId w:val="7"/>
              </w:numPr>
              <w:ind w:left="459" w:hanging="426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B15F60">
              <w:rPr>
                <w:rFonts w:ascii="Times New Roman" w:hAnsi="Times New Roman"/>
                <w:color w:val="000000"/>
                <w:spacing w:val="-2"/>
              </w:rPr>
              <w:t>Stowarzyszenie Referendarzy Sądowych Rzeczpospolitej Polskiej;</w:t>
            </w:r>
          </w:p>
          <w:p w14:paraId="77E1247C" w14:textId="77777777" w:rsidR="00B15F60" w:rsidRPr="00B15F60" w:rsidRDefault="00B15F60" w:rsidP="00DA3F2D">
            <w:pPr>
              <w:numPr>
                <w:ilvl w:val="0"/>
                <w:numId w:val="7"/>
              </w:numPr>
              <w:ind w:left="459" w:hanging="426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B15F60">
              <w:rPr>
                <w:rFonts w:ascii="Times New Roman" w:hAnsi="Times New Roman"/>
                <w:color w:val="000000"/>
                <w:spacing w:val="-2"/>
              </w:rPr>
              <w:t>Stowarzyszenie Referendarzy Sądowych LEX IUSTA;</w:t>
            </w:r>
          </w:p>
          <w:p w14:paraId="1341B192" w14:textId="77777777" w:rsidR="00B15F60" w:rsidRPr="00B15F60" w:rsidRDefault="00B15F60" w:rsidP="00DA3F2D">
            <w:pPr>
              <w:numPr>
                <w:ilvl w:val="0"/>
                <w:numId w:val="7"/>
              </w:numPr>
              <w:ind w:left="459" w:hanging="426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B15F60">
              <w:rPr>
                <w:rFonts w:ascii="Times New Roman" w:hAnsi="Times New Roman"/>
                <w:color w:val="000000"/>
                <w:spacing w:val="-2"/>
              </w:rPr>
              <w:t>Porozumienie Samorządów Zawodowych i Stowarzyszeń Prawniczych;</w:t>
            </w:r>
          </w:p>
          <w:p w14:paraId="5A45DFB7" w14:textId="77777777" w:rsidR="00B15F60" w:rsidRPr="00B15F60" w:rsidRDefault="00B15F60" w:rsidP="00DA3F2D">
            <w:pPr>
              <w:numPr>
                <w:ilvl w:val="0"/>
                <w:numId w:val="7"/>
              </w:numPr>
              <w:ind w:left="459" w:hanging="426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B15F60">
              <w:rPr>
                <w:rFonts w:ascii="Times New Roman" w:hAnsi="Times New Roman"/>
                <w:color w:val="000000"/>
                <w:spacing w:val="-2"/>
              </w:rPr>
              <w:t>Fundacja Panoptykon;</w:t>
            </w:r>
          </w:p>
          <w:p w14:paraId="45A459BB" w14:textId="77777777" w:rsidR="00B15F60" w:rsidRPr="00B15F60" w:rsidRDefault="00B15F60" w:rsidP="00DA3F2D">
            <w:pPr>
              <w:numPr>
                <w:ilvl w:val="0"/>
                <w:numId w:val="7"/>
              </w:numPr>
              <w:ind w:left="459" w:hanging="426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B15F60">
              <w:rPr>
                <w:rFonts w:ascii="Times New Roman" w:hAnsi="Times New Roman"/>
                <w:color w:val="000000"/>
                <w:spacing w:val="-2"/>
              </w:rPr>
              <w:t>Fundacja Court Watch Polska;</w:t>
            </w:r>
          </w:p>
          <w:p w14:paraId="4D132423" w14:textId="77777777" w:rsidR="00B15F60" w:rsidRPr="00B15F60" w:rsidRDefault="00B15F60" w:rsidP="00DA3F2D">
            <w:pPr>
              <w:numPr>
                <w:ilvl w:val="0"/>
                <w:numId w:val="7"/>
              </w:numPr>
              <w:ind w:left="459" w:hanging="426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B15F60">
              <w:rPr>
                <w:rFonts w:ascii="Times New Roman" w:hAnsi="Times New Roman"/>
                <w:color w:val="000000"/>
                <w:spacing w:val="-2"/>
              </w:rPr>
              <w:t>Fundacja im. Stefana Batorego;</w:t>
            </w:r>
          </w:p>
          <w:p w14:paraId="725E3E4F" w14:textId="77777777" w:rsidR="00B15F60" w:rsidRPr="00B15F60" w:rsidRDefault="00B15F60" w:rsidP="00DA3F2D">
            <w:pPr>
              <w:numPr>
                <w:ilvl w:val="0"/>
                <w:numId w:val="7"/>
              </w:numPr>
              <w:ind w:left="459" w:hanging="426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B15F60">
              <w:rPr>
                <w:rFonts w:ascii="Times New Roman" w:hAnsi="Times New Roman"/>
                <w:color w:val="000000"/>
                <w:spacing w:val="-2"/>
              </w:rPr>
              <w:t xml:space="preserve">Sieć Obywatelska </w:t>
            </w:r>
            <w:proofErr w:type="spellStart"/>
            <w:r w:rsidRPr="00B15F60">
              <w:rPr>
                <w:rFonts w:ascii="Times New Roman" w:hAnsi="Times New Roman"/>
                <w:color w:val="000000"/>
                <w:spacing w:val="-2"/>
              </w:rPr>
              <w:t>Watchdog</w:t>
            </w:r>
            <w:proofErr w:type="spellEnd"/>
            <w:r w:rsidRPr="00B15F60">
              <w:rPr>
                <w:rFonts w:ascii="Times New Roman" w:hAnsi="Times New Roman"/>
                <w:color w:val="000000"/>
                <w:spacing w:val="-2"/>
              </w:rPr>
              <w:t xml:space="preserve"> Polska;</w:t>
            </w:r>
          </w:p>
          <w:p w14:paraId="2489569C" w14:textId="77777777" w:rsidR="00B15F60" w:rsidRPr="00B15F60" w:rsidRDefault="00B15F60" w:rsidP="00DA3F2D">
            <w:pPr>
              <w:numPr>
                <w:ilvl w:val="0"/>
                <w:numId w:val="7"/>
              </w:numPr>
              <w:ind w:left="459" w:hanging="426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B15F60">
              <w:rPr>
                <w:rFonts w:ascii="Times New Roman" w:hAnsi="Times New Roman"/>
                <w:color w:val="000000"/>
                <w:spacing w:val="-2"/>
              </w:rPr>
              <w:t>Stowarzyszenie Absolwentów i Aplikantów KSSiP „Votum”;</w:t>
            </w:r>
          </w:p>
          <w:p w14:paraId="43CC6687" w14:textId="62822CA9" w:rsidR="00B15F60" w:rsidRPr="00B15F60" w:rsidRDefault="00B15F60" w:rsidP="00DA3F2D">
            <w:pPr>
              <w:numPr>
                <w:ilvl w:val="0"/>
                <w:numId w:val="7"/>
              </w:numPr>
              <w:ind w:left="459" w:hanging="426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B15F60">
              <w:rPr>
                <w:rFonts w:ascii="Times New Roman" w:hAnsi="Times New Roman"/>
                <w:color w:val="000000"/>
                <w:spacing w:val="-2"/>
              </w:rPr>
              <w:t>Krajowa Rada Związku Zawodowego Pracowników Wymiaru Sprawiedliwości Rzeczypospolitej Polskiej;</w:t>
            </w:r>
            <w:bookmarkEnd w:id="4"/>
          </w:p>
          <w:p w14:paraId="13862A4E" w14:textId="36F84688" w:rsidR="00B15F60" w:rsidRPr="00B15F60" w:rsidRDefault="00B15F60" w:rsidP="00DA3F2D">
            <w:pPr>
              <w:numPr>
                <w:ilvl w:val="0"/>
                <w:numId w:val="7"/>
              </w:numPr>
              <w:ind w:left="459" w:hanging="426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B15F60">
              <w:rPr>
                <w:rFonts w:ascii="Times New Roman" w:hAnsi="Times New Roman"/>
                <w:color w:val="000000"/>
                <w:spacing w:val="-2"/>
              </w:rPr>
              <w:t>Niezależny Samorządny Związek Zawodowy Pracowników Wymiaru Sprawiedliwości Rzeczypospolitej Polskiej;</w:t>
            </w:r>
          </w:p>
          <w:p w14:paraId="1D119CF9" w14:textId="77777777" w:rsidR="00B15F60" w:rsidRPr="00B15F60" w:rsidRDefault="00B15F60" w:rsidP="00DA3F2D">
            <w:pPr>
              <w:numPr>
                <w:ilvl w:val="0"/>
                <w:numId w:val="7"/>
              </w:numPr>
              <w:ind w:left="459" w:hanging="426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B15F60">
              <w:rPr>
                <w:rFonts w:ascii="Times New Roman" w:hAnsi="Times New Roman"/>
                <w:color w:val="000000"/>
                <w:spacing w:val="-2"/>
              </w:rPr>
              <w:lastRenderedPageBreak/>
              <w:t>Międzyzakładowa Organizacja Związkowa Niezależnego Samorządnego Związku Zawodowego „Solidarność” Pracowników Sądownictwa i Prokuratury;</w:t>
            </w:r>
          </w:p>
          <w:p w14:paraId="47BFBD7F" w14:textId="6DB6A1E6" w:rsidR="00B15F60" w:rsidRPr="00B15F60" w:rsidRDefault="00B15F60" w:rsidP="00DA3F2D">
            <w:pPr>
              <w:numPr>
                <w:ilvl w:val="0"/>
                <w:numId w:val="7"/>
              </w:numPr>
              <w:ind w:left="459" w:hanging="426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B15F60">
              <w:rPr>
                <w:rFonts w:ascii="Times New Roman" w:hAnsi="Times New Roman"/>
                <w:color w:val="000000"/>
                <w:spacing w:val="-2"/>
              </w:rPr>
              <w:t>Prezydium Rady Głównej Związku Zawodowego Prokuratorów i Pracowników Prokuratury Rzeczypospolitej Polskiej;</w:t>
            </w:r>
          </w:p>
          <w:p w14:paraId="21D57E17" w14:textId="126DF43C" w:rsidR="00B15F60" w:rsidRPr="00B15F60" w:rsidRDefault="00B15F60" w:rsidP="00DA3F2D">
            <w:pPr>
              <w:numPr>
                <w:ilvl w:val="0"/>
                <w:numId w:val="7"/>
              </w:numPr>
              <w:ind w:left="459" w:hanging="426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B15F60">
              <w:rPr>
                <w:rFonts w:ascii="Times New Roman" w:hAnsi="Times New Roman"/>
                <w:color w:val="000000"/>
                <w:spacing w:val="-2"/>
              </w:rPr>
              <w:t>Krajowy Niezależny Samorządny Związek Zawodowy „Ad Rem”;</w:t>
            </w:r>
          </w:p>
          <w:p w14:paraId="165300BD" w14:textId="77777777" w:rsidR="00B15F60" w:rsidRPr="00B15F60" w:rsidRDefault="00B15F60" w:rsidP="00DA3F2D">
            <w:pPr>
              <w:numPr>
                <w:ilvl w:val="0"/>
                <w:numId w:val="7"/>
              </w:numPr>
              <w:ind w:left="459" w:hanging="426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B15F60">
              <w:rPr>
                <w:rFonts w:ascii="Times New Roman" w:hAnsi="Times New Roman"/>
                <w:color w:val="000000"/>
                <w:spacing w:val="-2"/>
              </w:rPr>
              <w:t>Związek Zawodowy Pracowników Wymiaru Sprawiedliwości Rzeczypospolitej Polskiej;</w:t>
            </w:r>
          </w:p>
          <w:p w14:paraId="095017F9" w14:textId="1F3F690E" w:rsidR="00B15F60" w:rsidRPr="00B15F60" w:rsidRDefault="00B15F60" w:rsidP="00DA3F2D">
            <w:pPr>
              <w:numPr>
                <w:ilvl w:val="0"/>
                <w:numId w:val="7"/>
              </w:numPr>
              <w:ind w:left="459" w:hanging="426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B15F60">
              <w:rPr>
                <w:rFonts w:ascii="Times New Roman" w:hAnsi="Times New Roman"/>
                <w:color w:val="000000"/>
                <w:spacing w:val="-2"/>
              </w:rPr>
              <w:t>Związek Zawodowy</w:t>
            </w:r>
            <w:r w:rsidRPr="00DA3F2D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B15F60">
              <w:rPr>
                <w:rFonts w:ascii="Times New Roman" w:hAnsi="Times New Roman"/>
                <w:color w:val="000000"/>
                <w:spacing w:val="-2"/>
              </w:rPr>
              <w:t>Prokuratorów i Pracowników Prokuratury Rzeczypospolitej Polskiej;</w:t>
            </w:r>
          </w:p>
          <w:p w14:paraId="60B45F9B" w14:textId="77777777" w:rsidR="00B15F60" w:rsidRPr="00B15F60" w:rsidRDefault="00B15F60" w:rsidP="001F7E21">
            <w:pPr>
              <w:numPr>
                <w:ilvl w:val="0"/>
                <w:numId w:val="7"/>
              </w:numPr>
              <w:ind w:left="459" w:hanging="426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B15F60">
              <w:rPr>
                <w:rFonts w:ascii="Times New Roman" w:hAnsi="Times New Roman"/>
                <w:color w:val="000000"/>
                <w:spacing w:val="-2"/>
              </w:rPr>
              <w:t>Krajowa Sekcja Służby Więziennej NSZZ „Solidarność”;</w:t>
            </w:r>
          </w:p>
          <w:p w14:paraId="02C4A756" w14:textId="77777777" w:rsidR="00B15F60" w:rsidRPr="00B15F60" w:rsidRDefault="00B15F60" w:rsidP="001F7E21">
            <w:pPr>
              <w:numPr>
                <w:ilvl w:val="0"/>
                <w:numId w:val="7"/>
              </w:numPr>
              <w:ind w:left="459" w:hanging="426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B15F60">
              <w:rPr>
                <w:rFonts w:ascii="Times New Roman" w:hAnsi="Times New Roman"/>
                <w:color w:val="000000"/>
                <w:spacing w:val="-2"/>
              </w:rPr>
              <w:t>Ogólnopolskie Porozumienie Związków Zawodowych;</w:t>
            </w:r>
          </w:p>
          <w:p w14:paraId="4D54428B" w14:textId="77777777" w:rsidR="00B15F60" w:rsidRDefault="00B15F60" w:rsidP="00B15F60">
            <w:pPr>
              <w:numPr>
                <w:ilvl w:val="0"/>
                <w:numId w:val="7"/>
              </w:numPr>
              <w:ind w:left="459" w:hanging="426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B15F60">
              <w:rPr>
                <w:rFonts w:ascii="Times New Roman" w:hAnsi="Times New Roman"/>
                <w:color w:val="000000"/>
                <w:spacing w:val="-2"/>
              </w:rPr>
              <w:t xml:space="preserve">Forum Związków Zawodowych. </w:t>
            </w:r>
          </w:p>
          <w:p w14:paraId="3489A019" w14:textId="565A61F8" w:rsidR="00B15F60" w:rsidRPr="00B15F60" w:rsidRDefault="00B15F60" w:rsidP="00B15F60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Czas trwania</w:t>
            </w:r>
            <w:r w:rsidRPr="00B15F60">
              <w:rPr>
                <w:rFonts w:ascii="Times New Roman" w:hAnsi="Times New Roman"/>
                <w:color w:val="000000"/>
                <w:spacing w:val="-2"/>
              </w:rPr>
              <w:t xml:space="preserve"> opiniowania i konsultacji publicznych </w:t>
            </w:r>
            <w:r>
              <w:rPr>
                <w:rFonts w:ascii="Times New Roman" w:hAnsi="Times New Roman"/>
                <w:color w:val="000000"/>
                <w:spacing w:val="-2"/>
              </w:rPr>
              <w:t>–</w:t>
            </w:r>
            <w:r w:rsidRPr="00B15F60">
              <w:rPr>
                <w:rFonts w:ascii="Times New Roman" w:hAnsi="Times New Roman"/>
                <w:color w:val="000000"/>
                <w:spacing w:val="-2"/>
              </w:rPr>
              <w:t xml:space="preserve"> 14 dni </w:t>
            </w:r>
            <w:r>
              <w:rPr>
                <w:rFonts w:ascii="Times New Roman" w:hAnsi="Times New Roman"/>
                <w:color w:val="000000"/>
                <w:spacing w:val="-2"/>
              </w:rPr>
              <w:t>(</w:t>
            </w:r>
            <w:r w:rsidRPr="00B15F60">
              <w:rPr>
                <w:rFonts w:ascii="Times New Roman" w:hAnsi="Times New Roman"/>
                <w:color w:val="000000"/>
                <w:spacing w:val="-2"/>
              </w:rPr>
              <w:t>związk</w:t>
            </w:r>
            <w:r>
              <w:rPr>
                <w:rFonts w:ascii="Times New Roman" w:hAnsi="Times New Roman"/>
                <w:color w:val="000000"/>
                <w:spacing w:val="-2"/>
              </w:rPr>
              <w:t>i</w:t>
            </w:r>
            <w:r w:rsidRPr="00B15F60">
              <w:rPr>
                <w:rFonts w:ascii="Times New Roman" w:hAnsi="Times New Roman"/>
                <w:color w:val="000000"/>
                <w:spacing w:val="-2"/>
              </w:rPr>
              <w:t xml:space="preserve"> zawodow</w:t>
            </w:r>
            <w:r>
              <w:rPr>
                <w:rFonts w:ascii="Times New Roman" w:hAnsi="Times New Roman"/>
                <w:color w:val="000000"/>
                <w:spacing w:val="-2"/>
              </w:rPr>
              <w:t>e</w:t>
            </w:r>
            <w:r w:rsidRPr="00B15F60">
              <w:rPr>
                <w:rFonts w:ascii="Times New Roman" w:hAnsi="Times New Roman"/>
                <w:color w:val="000000"/>
                <w:spacing w:val="-2"/>
              </w:rPr>
              <w:t xml:space="preserve"> reprezentatywn</w:t>
            </w:r>
            <w:r>
              <w:rPr>
                <w:rFonts w:ascii="Times New Roman" w:hAnsi="Times New Roman"/>
                <w:color w:val="000000"/>
                <w:spacing w:val="-2"/>
              </w:rPr>
              <w:t>e –</w:t>
            </w:r>
            <w:r w:rsidRPr="00B15F60">
              <w:rPr>
                <w:rFonts w:ascii="Times New Roman" w:hAnsi="Times New Roman"/>
                <w:color w:val="000000"/>
                <w:spacing w:val="-2"/>
              </w:rPr>
              <w:t>21 dni</w:t>
            </w:r>
            <w:r>
              <w:rPr>
                <w:rFonts w:ascii="Times New Roman" w:hAnsi="Times New Roman"/>
                <w:color w:val="000000"/>
                <w:spacing w:val="-2"/>
              </w:rPr>
              <w:t>).</w:t>
            </w:r>
            <w:r w:rsidRPr="00B15F60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1ECFA225" w14:textId="646D4B7F" w:rsidR="00B22CDE" w:rsidRPr="00B15F60" w:rsidRDefault="00B22CDE" w:rsidP="00B22CDE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W ramach opiniowania </w:t>
            </w:r>
            <w:r w:rsidRPr="00B15F60">
              <w:rPr>
                <w:rFonts w:ascii="Times New Roman" w:hAnsi="Times New Roman"/>
                <w:color w:val="000000"/>
                <w:spacing w:val="-2"/>
              </w:rPr>
              <w:t>Wiceprezes Sądu Apelacyjnego we Wrocławiu, Wiceprezes Sądu Apelacyjnego w Szczecinie, Zastępca Prokuratora Regionalnego we Wrocławiu, Zastępca Prokuratora Regionalnego w Szczecinie i Zastępczyni Prezesa Urzędu Ochrony Danych Osobowych poinformowali o braku uwag do projektu.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B15F60">
              <w:rPr>
                <w:rFonts w:ascii="Times New Roman" w:hAnsi="Times New Roman"/>
                <w:color w:val="000000"/>
                <w:spacing w:val="-2"/>
              </w:rPr>
              <w:t>Uwagi do projektu zostały przedstawione przez Prezesa Sądu Apelacyjnego w Warszawie, Wiceprezesa Sądu Apelacyjnego w Lublinie, Prezesa Sądu Apelacyjnego w Katowicach, Prezesa Sądu Apelacyjnego w Krakowie, Prokuratora Krajowego, Zastępcę Prokuratora Regionalnego w Lublinie, Krajową Radę Radców Prawnych i Prokuratorię Generalną Rzeczypospolitej Polskiej</w:t>
            </w:r>
          </w:p>
          <w:p w14:paraId="1E8C2EB9" w14:textId="77777777" w:rsidR="00B22CDE" w:rsidRPr="00B15F60" w:rsidRDefault="00B22CDE" w:rsidP="00B22CDE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B15F60">
              <w:rPr>
                <w:rFonts w:ascii="Times New Roman" w:hAnsi="Times New Roman"/>
                <w:color w:val="000000"/>
                <w:spacing w:val="-2"/>
              </w:rPr>
              <w:t>Zestawienie przedstawionych uwag wraz z odniesieniem Ministra Sprawiedliwości zawiera odrębna tabela.</w:t>
            </w:r>
          </w:p>
          <w:p w14:paraId="02E93B6A" w14:textId="77777777" w:rsidR="003B20A7" w:rsidRPr="003B20A7" w:rsidRDefault="003B20A7" w:rsidP="003B20A7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3B20A7">
              <w:rPr>
                <w:rFonts w:ascii="Times New Roman" w:hAnsi="Times New Roman"/>
                <w:color w:val="000000"/>
                <w:spacing w:val="-2"/>
              </w:rPr>
              <w:t>Federacja Związków Pracodawców Ochrony Zdrowia Porozumienie Zielonogórskie poinformowała o braku uwag do projektu. W ramach konsultacji publicznych uwagi do projektu</w:t>
            </w:r>
            <w:r w:rsidRPr="003B20A7">
              <w:rPr>
                <w:rFonts w:ascii="Times New Roman" w:hAnsi="Times New Roman"/>
                <w:i/>
                <w:iCs/>
                <w:color w:val="000000"/>
                <w:spacing w:val="-2"/>
              </w:rPr>
              <w:t xml:space="preserve"> </w:t>
            </w:r>
            <w:r w:rsidRPr="003B20A7">
              <w:rPr>
                <w:rFonts w:ascii="Times New Roman" w:hAnsi="Times New Roman"/>
                <w:color w:val="000000"/>
                <w:spacing w:val="-2"/>
              </w:rPr>
              <w:t>nie zostały przedstawione.</w:t>
            </w:r>
          </w:p>
          <w:p w14:paraId="4898FA91" w14:textId="77777777" w:rsidR="002C3F69" w:rsidRPr="00E1557F" w:rsidRDefault="00B15F60" w:rsidP="00432A80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B15F60">
              <w:rPr>
                <w:rFonts w:ascii="Times New Roman" w:hAnsi="Times New Roman"/>
                <w:color w:val="000000"/>
                <w:spacing w:val="-2"/>
              </w:rPr>
              <w:t>Żaden podmiot nie zgłosił zainteresowania pracami nad projektem w trybie przepisów o działalności lobbingowej w procesie stanowienia prawa.</w:t>
            </w:r>
          </w:p>
        </w:tc>
      </w:tr>
      <w:tr w:rsidR="006A701A" w:rsidRPr="008B4FE6" w14:paraId="71C620A2" w14:textId="77777777" w:rsidTr="00B753DA">
        <w:trPr>
          <w:trHeight w:val="363"/>
        </w:trPr>
        <w:tc>
          <w:tcPr>
            <w:tcW w:w="11008" w:type="dxa"/>
            <w:gridSpan w:val="29"/>
            <w:shd w:val="clear" w:color="auto" w:fill="99CCFF"/>
            <w:vAlign w:val="center"/>
          </w:tcPr>
          <w:p w14:paraId="12701AF0" w14:textId="77777777" w:rsidR="006A701A" w:rsidRPr="008B4FE6" w:rsidRDefault="006A701A">
            <w:pPr>
              <w:numPr>
                <w:ilvl w:val="0"/>
                <w:numId w:val="1"/>
              </w:numPr>
              <w:spacing w:before="60" w:after="60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lastRenderedPageBreak/>
              <w:t xml:space="preserve"> Wpływ na sektor finansów publicznych</w:t>
            </w:r>
          </w:p>
        </w:tc>
      </w:tr>
      <w:tr w:rsidR="00260F33" w:rsidRPr="008B4FE6" w14:paraId="1C5E158A" w14:textId="77777777" w:rsidTr="00B753DA">
        <w:trPr>
          <w:trHeight w:val="142"/>
        </w:trPr>
        <w:tc>
          <w:tcPr>
            <w:tcW w:w="3600" w:type="dxa"/>
            <w:gridSpan w:val="4"/>
            <w:vMerge w:val="restart"/>
            <w:shd w:val="clear" w:color="auto" w:fill="FFFFFF"/>
          </w:tcPr>
          <w:p w14:paraId="58DED093" w14:textId="51755F66" w:rsidR="00260F33" w:rsidRPr="00C53F26" w:rsidRDefault="00821717" w:rsidP="00DE3780">
            <w:pPr>
              <w:spacing w:before="40" w:after="40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(ceny </w:t>
            </w:r>
            <w:r w:rsidR="00CF5F4F">
              <w:rPr>
                <w:rFonts w:ascii="Times New Roman" w:hAnsi="Times New Roman"/>
                <w:color w:val="000000"/>
                <w:sz w:val="21"/>
                <w:szCs w:val="21"/>
              </w:rPr>
              <w:t>stałe</w:t>
            </w: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z </w:t>
            </w:r>
            <w:r w:rsidR="008B1DA8">
              <w:rPr>
                <w:rFonts w:ascii="Times New Roman" w:hAnsi="Times New Roman"/>
                <w:color w:val="000000"/>
                <w:sz w:val="21"/>
                <w:szCs w:val="21"/>
              </w:rPr>
              <w:t>202</w:t>
            </w:r>
            <w:r w:rsidR="00DA3F2D">
              <w:rPr>
                <w:rFonts w:ascii="Times New Roman" w:hAnsi="Times New Roman"/>
                <w:color w:val="000000"/>
                <w:sz w:val="21"/>
                <w:szCs w:val="21"/>
              </w:rPr>
              <w:t>6</w:t>
            </w:r>
            <w:r w:rsidR="008B1DA8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>r.)</w:t>
            </w:r>
          </w:p>
        </w:tc>
        <w:tc>
          <w:tcPr>
            <w:tcW w:w="7408" w:type="dxa"/>
            <w:gridSpan w:val="25"/>
            <w:shd w:val="clear" w:color="auto" w:fill="FFFFFF"/>
          </w:tcPr>
          <w:p w14:paraId="76F47CA1" w14:textId="77777777" w:rsidR="00260F33" w:rsidRPr="00C53F26" w:rsidRDefault="00260F33" w:rsidP="00DE3780">
            <w:pPr>
              <w:spacing w:before="40" w:after="40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Skutki w okresie 10 lat od wejścia w życie zmian [</w:t>
            </w:r>
            <w:r w:rsidR="00A056CB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mln </w:t>
            </w: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zł]</w:t>
            </w:r>
          </w:p>
        </w:tc>
      </w:tr>
      <w:tr w:rsidR="00BE31BA" w:rsidRPr="008B4FE6" w14:paraId="2B8075DF" w14:textId="77777777" w:rsidTr="00B753DA">
        <w:trPr>
          <w:trHeight w:val="142"/>
        </w:trPr>
        <w:tc>
          <w:tcPr>
            <w:tcW w:w="3600" w:type="dxa"/>
            <w:gridSpan w:val="4"/>
            <w:vMerge/>
            <w:shd w:val="clear" w:color="auto" w:fill="FFFFFF"/>
          </w:tcPr>
          <w:p w14:paraId="606D1C15" w14:textId="77777777" w:rsidR="0057668E" w:rsidRPr="00C53F26" w:rsidRDefault="0057668E" w:rsidP="00DE3780">
            <w:pPr>
              <w:spacing w:before="40" w:after="40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</w:p>
        </w:tc>
        <w:tc>
          <w:tcPr>
            <w:tcW w:w="714" w:type="dxa"/>
            <w:shd w:val="clear" w:color="auto" w:fill="FFFFFF"/>
          </w:tcPr>
          <w:p w14:paraId="54DB405F" w14:textId="77777777" w:rsidR="0057668E" w:rsidRPr="00C53F26" w:rsidRDefault="0057668E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05" w:type="dxa"/>
            <w:gridSpan w:val="3"/>
            <w:shd w:val="clear" w:color="auto" w:fill="FFFFFF"/>
          </w:tcPr>
          <w:p w14:paraId="7A41682E" w14:textId="77777777" w:rsidR="0057668E" w:rsidRPr="00C53F26" w:rsidRDefault="0057668E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480" w:type="dxa"/>
            <w:gridSpan w:val="3"/>
            <w:shd w:val="clear" w:color="auto" w:fill="FFFFFF"/>
          </w:tcPr>
          <w:p w14:paraId="3A46AD97" w14:textId="77777777" w:rsidR="0057668E" w:rsidRPr="00C53F26" w:rsidRDefault="0057668E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481" w:type="dxa"/>
            <w:gridSpan w:val="2"/>
            <w:shd w:val="clear" w:color="auto" w:fill="FFFFFF"/>
          </w:tcPr>
          <w:p w14:paraId="447E3D84" w14:textId="77777777" w:rsidR="0057668E" w:rsidRPr="00C53F26" w:rsidRDefault="0057668E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481" w:type="dxa"/>
            <w:gridSpan w:val="2"/>
            <w:shd w:val="clear" w:color="auto" w:fill="FFFFFF"/>
          </w:tcPr>
          <w:p w14:paraId="3A0ACB9E" w14:textId="77777777" w:rsidR="0057668E" w:rsidRPr="00C53F26" w:rsidRDefault="0057668E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477" w:type="dxa"/>
            <w:gridSpan w:val="2"/>
            <w:shd w:val="clear" w:color="auto" w:fill="FFFFFF"/>
          </w:tcPr>
          <w:p w14:paraId="4B323DFF" w14:textId="77777777" w:rsidR="0057668E" w:rsidRPr="00C53F26" w:rsidRDefault="0057668E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474" w:type="dxa"/>
            <w:gridSpan w:val="2"/>
            <w:shd w:val="clear" w:color="auto" w:fill="FFFFFF"/>
          </w:tcPr>
          <w:p w14:paraId="6181320E" w14:textId="77777777" w:rsidR="0057668E" w:rsidRPr="00C53F26" w:rsidRDefault="0057668E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462" w:type="dxa"/>
            <w:gridSpan w:val="3"/>
            <w:shd w:val="clear" w:color="auto" w:fill="FFFFFF"/>
          </w:tcPr>
          <w:p w14:paraId="346A3BCC" w14:textId="77777777" w:rsidR="0057668E" w:rsidRPr="00C53F26" w:rsidRDefault="0057668E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434" w:type="dxa"/>
            <w:gridSpan w:val="2"/>
            <w:shd w:val="clear" w:color="auto" w:fill="FFFFFF"/>
          </w:tcPr>
          <w:p w14:paraId="6A84CC7C" w14:textId="77777777" w:rsidR="0057668E" w:rsidRPr="00C53F26" w:rsidRDefault="0057668E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433" w:type="dxa"/>
            <w:gridSpan w:val="2"/>
            <w:shd w:val="clear" w:color="auto" w:fill="FFFFFF"/>
          </w:tcPr>
          <w:p w14:paraId="03A5A6EA" w14:textId="77777777" w:rsidR="0057668E" w:rsidRPr="00C53F26" w:rsidRDefault="0057668E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730" w:type="dxa"/>
            <w:shd w:val="clear" w:color="auto" w:fill="FFFFFF"/>
          </w:tcPr>
          <w:p w14:paraId="050107C6" w14:textId="77777777" w:rsidR="0057668E" w:rsidRPr="00C53F26" w:rsidRDefault="0057668E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737" w:type="dxa"/>
            <w:gridSpan w:val="2"/>
            <w:shd w:val="clear" w:color="auto" w:fill="FFFFFF"/>
          </w:tcPr>
          <w:p w14:paraId="1393E337" w14:textId="77777777" w:rsidR="0057668E" w:rsidRPr="00C53F26" w:rsidRDefault="0057668E" w:rsidP="00DE3780">
            <w:pPr>
              <w:spacing w:before="40" w:after="40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 w:rsidR="00CF5F4F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(0-10)</w:t>
            </w:r>
          </w:p>
        </w:tc>
      </w:tr>
      <w:tr w:rsidR="00BE31BA" w:rsidRPr="008B4FE6" w14:paraId="1734A91E" w14:textId="77777777" w:rsidTr="00B753DA">
        <w:trPr>
          <w:trHeight w:val="321"/>
        </w:trPr>
        <w:tc>
          <w:tcPr>
            <w:tcW w:w="3600" w:type="dxa"/>
            <w:gridSpan w:val="4"/>
            <w:shd w:val="clear" w:color="auto" w:fill="FFFFFF"/>
            <w:vAlign w:val="center"/>
          </w:tcPr>
          <w:p w14:paraId="7A36AB06" w14:textId="77777777" w:rsidR="008B1DA8" w:rsidRPr="00C53F26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Dochody ogółem</w:t>
            </w:r>
          </w:p>
        </w:tc>
        <w:tc>
          <w:tcPr>
            <w:tcW w:w="714" w:type="dxa"/>
            <w:shd w:val="clear" w:color="auto" w:fill="FFFFFF"/>
          </w:tcPr>
          <w:p w14:paraId="1E4BFC2B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05" w:type="dxa"/>
            <w:gridSpan w:val="3"/>
            <w:shd w:val="clear" w:color="auto" w:fill="FFFFFF"/>
          </w:tcPr>
          <w:p w14:paraId="6415C22E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80" w:type="dxa"/>
            <w:gridSpan w:val="3"/>
            <w:shd w:val="clear" w:color="auto" w:fill="FFFFFF"/>
          </w:tcPr>
          <w:p w14:paraId="31C74045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81" w:type="dxa"/>
            <w:gridSpan w:val="2"/>
            <w:shd w:val="clear" w:color="auto" w:fill="FFFFFF"/>
          </w:tcPr>
          <w:p w14:paraId="43F95D93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81" w:type="dxa"/>
            <w:gridSpan w:val="2"/>
            <w:shd w:val="clear" w:color="auto" w:fill="FFFFFF"/>
          </w:tcPr>
          <w:p w14:paraId="5087A752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77" w:type="dxa"/>
            <w:gridSpan w:val="2"/>
            <w:shd w:val="clear" w:color="auto" w:fill="FFFFFF"/>
          </w:tcPr>
          <w:p w14:paraId="7F2AC33C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74" w:type="dxa"/>
            <w:gridSpan w:val="2"/>
            <w:shd w:val="clear" w:color="auto" w:fill="FFFFFF"/>
          </w:tcPr>
          <w:p w14:paraId="2690DBD2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62" w:type="dxa"/>
            <w:gridSpan w:val="3"/>
            <w:shd w:val="clear" w:color="auto" w:fill="FFFFFF"/>
          </w:tcPr>
          <w:p w14:paraId="1E4DC70E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34" w:type="dxa"/>
            <w:gridSpan w:val="2"/>
            <w:shd w:val="clear" w:color="auto" w:fill="FFFFFF"/>
          </w:tcPr>
          <w:p w14:paraId="28DA2DAB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33" w:type="dxa"/>
            <w:gridSpan w:val="2"/>
            <w:shd w:val="clear" w:color="auto" w:fill="FFFFFF"/>
          </w:tcPr>
          <w:p w14:paraId="5516BAD5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30" w:type="dxa"/>
            <w:shd w:val="clear" w:color="auto" w:fill="FFFFFF"/>
          </w:tcPr>
          <w:p w14:paraId="640A62AE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37" w:type="dxa"/>
            <w:gridSpan w:val="2"/>
            <w:shd w:val="clear" w:color="auto" w:fill="FFFFFF"/>
          </w:tcPr>
          <w:p w14:paraId="7D789D3A" w14:textId="77777777" w:rsidR="008B1DA8" w:rsidRPr="00B37C80" w:rsidRDefault="008B1DA8" w:rsidP="00DE3780">
            <w:pPr>
              <w:jc w:val="center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</w:tr>
      <w:tr w:rsidR="00BE31BA" w:rsidRPr="008B4FE6" w14:paraId="667D5BB3" w14:textId="77777777" w:rsidTr="00B753DA">
        <w:trPr>
          <w:trHeight w:val="321"/>
        </w:trPr>
        <w:tc>
          <w:tcPr>
            <w:tcW w:w="3600" w:type="dxa"/>
            <w:gridSpan w:val="4"/>
            <w:shd w:val="clear" w:color="auto" w:fill="FFFFFF"/>
            <w:vAlign w:val="center"/>
          </w:tcPr>
          <w:p w14:paraId="5A489EDE" w14:textId="77777777" w:rsidR="008B1DA8" w:rsidRPr="00C53F26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714" w:type="dxa"/>
            <w:shd w:val="clear" w:color="auto" w:fill="FFFFFF"/>
          </w:tcPr>
          <w:p w14:paraId="2F03829E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05" w:type="dxa"/>
            <w:gridSpan w:val="3"/>
            <w:shd w:val="clear" w:color="auto" w:fill="FFFFFF"/>
          </w:tcPr>
          <w:p w14:paraId="34B6A451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80" w:type="dxa"/>
            <w:gridSpan w:val="3"/>
            <w:shd w:val="clear" w:color="auto" w:fill="FFFFFF"/>
          </w:tcPr>
          <w:p w14:paraId="5DCA84C0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81" w:type="dxa"/>
            <w:gridSpan w:val="2"/>
            <w:shd w:val="clear" w:color="auto" w:fill="FFFFFF"/>
          </w:tcPr>
          <w:p w14:paraId="3D53A4F9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81" w:type="dxa"/>
            <w:gridSpan w:val="2"/>
            <w:shd w:val="clear" w:color="auto" w:fill="FFFFFF"/>
          </w:tcPr>
          <w:p w14:paraId="4CECBB86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77" w:type="dxa"/>
            <w:gridSpan w:val="2"/>
            <w:shd w:val="clear" w:color="auto" w:fill="FFFFFF"/>
          </w:tcPr>
          <w:p w14:paraId="30E2E011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74" w:type="dxa"/>
            <w:gridSpan w:val="2"/>
            <w:shd w:val="clear" w:color="auto" w:fill="FFFFFF"/>
          </w:tcPr>
          <w:p w14:paraId="0ABAC498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62" w:type="dxa"/>
            <w:gridSpan w:val="3"/>
            <w:shd w:val="clear" w:color="auto" w:fill="FFFFFF"/>
          </w:tcPr>
          <w:p w14:paraId="3A14BB95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34" w:type="dxa"/>
            <w:gridSpan w:val="2"/>
            <w:shd w:val="clear" w:color="auto" w:fill="FFFFFF"/>
          </w:tcPr>
          <w:p w14:paraId="486D1E17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33" w:type="dxa"/>
            <w:gridSpan w:val="2"/>
            <w:shd w:val="clear" w:color="auto" w:fill="FFFFFF"/>
          </w:tcPr>
          <w:p w14:paraId="1D2845D4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30" w:type="dxa"/>
            <w:shd w:val="clear" w:color="auto" w:fill="FFFFFF"/>
          </w:tcPr>
          <w:p w14:paraId="2D0B97F4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37" w:type="dxa"/>
            <w:gridSpan w:val="2"/>
            <w:shd w:val="clear" w:color="auto" w:fill="FFFFFF"/>
          </w:tcPr>
          <w:p w14:paraId="30D13F7D" w14:textId="77777777" w:rsidR="008B1DA8" w:rsidRPr="00B37C80" w:rsidRDefault="008B1DA8" w:rsidP="00DE3780">
            <w:pPr>
              <w:jc w:val="center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</w:tr>
      <w:tr w:rsidR="00BE31BA" w:rsidRPr="008B4FE6" w14:paraId="2F13BB42" w14:textId="77777777" w:rsidTr="00B753DA">
        <w:trPr>
          <w:trHeight w:val="344"/>
        </w:trPr>
        <w:tc>
          <w:tcPr>
            <w:tcW w:w="3600" w:type="dxa"/>
            <w:gridSpan w:val="4"/>
            <w:shd w:val="clear" w:color="auto" w:fill="FFFFFF"/>
            <w:vAlign w:val="center"/>
          </w:tcPr>
          <w:p w14:paraId="7233D231" w14:textId="77777777" w:rsidR="008B1DA8" w:rsidRPr="00C53F26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714" w:type="dxa"/>
            <w:shd w:val="clear" w:color="auto" w:fill="FFFFFF"/>
          </w:tcPr>
          <w:p w14:paraId="49139EC8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05" w:type="dxa"/>
            <w:gridSpan w:val="3"/>
            <w:shd w:val="clear" w:color="auto" w:fill="FFFFFF"/>
          </w:tcPr>
          <w:p w14:paraId="10BF3799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80" w:type="dxa"/>
            <w:gridSpan w:val="3"/>
            <w:shd w:val="clear" w:color="auto" w:fill="FFFFFF"/>
          </w:tcPr>
          <w:p w14:paraId="12C4B35D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81" w:type="dxa"/>
            <w:gridSpan w:val="2"/>
            <w:shd w:val="clear" w:color="auto" w:fill="FFFFFF"/>
          </w:tcPr>
          <w:p w14:paraId="1F21B4E7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81" w:type="dxa"/>
            <w:gridSpan w:val="2"/>
            <w:shd w:val="clear" w:color="auto" w:fill="FFFFFF"/>
          </w:tcPr>
          <w:p w14:paraId="6B25CBA5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77" w:type="dxa"/>
            <w:gridSpan w:val="2"/>
            <w:shd w:val="clear" w:color="auto" w:fill="FFFFFF"/>
          </w:tcPr>
          <w:p w14:paraId="24026EF5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74" w:type="dxa"/>
            <w:gridSpan w:val="2"/>
            <w:shd w:val="clear" w:color="auto" w:fill="FFFFFF"/>
          </w:tcPr>
          <w:p w14:paraId="0C6763C8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62" w:type="dxa"/>
            <w:gridSpan w:val="3"/>
            <w:shd w:val="clear" w:color="auto" w:fill="FFFFFF"/>
          </w:tcPr>
          <w:p w14:paraId="756B9AAA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34" w:type="dxa"/>
            <w:gridSpan w:val="2"/>
            <w:shd w:val="clear" w:color="auto" w:fill="FFFFFF"/>
          </w:tcPr>
          <w:p w14:paraId="3C194FA3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33" w:type="dxa"/>
            <w:gridSpan w:val="2"/>
            <w:shd w:val="clear" w:color="auto" w:fill="FFFFFF"/>
          </w:tcPr>
          <w:p w14:paraId="3210FF00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30" w:type="dxa"/>
            <w:shd w:val="clear" w:color="auto" w:fill="FFFFFF"/>
          </w:tcPr>
          <w:p w14:paraId="51137439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37" w:type="dxa"/>
            <w:gridSpan w:val="2"/>
            <w:shd w:val="clear" w:color="auto" w:fill="FFFFFF"/>
          </w:tcPr>
          <w:p w14:paraId="725E84A6" w14:textId="77777777" w:rsidR="008B1DA8" w:rsidRPr="00B37C80" w:rsidRDefault="008B1DA8" w:rsidP="00DE3780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</w:tr>
      <w:tr w:rsidR="00BE31BA" w:rsidRPr="008B4FE6" w14:paraId="08330CB5" w14:textId="77777777" w:rsidTr="00B753DA">
        <w:trPr>
          <w:trHeight w:val="344"/>
        </w:trPr>
        <w:tc>
          <w:tcPr>
            <w:tcW w:w="3600" w:type="dxa"/>
            <w:gridSpan w:val="4"/>
            <w:shd w:val="clear" w:color="auto" w:fill="FFFFFF"/>
            <w:vAlign w:val="center"/>
          </w:tcPr>
          <w:p w14:paraId="23039CA2" w14:textId="77777777" w:rsidR="008B1DA8" w:rsidRPr="00C53F26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714" w:type="dxa"/>
            <w:shd w:val="clear" w:color="auto" w:fill="FFFFFF"/>
          </w:tcPr>
          <w:p w14:paraId="5C9CBB88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05" w:type="dxa"/>
            <w:gridSpan w:val="3"/>
            <w:shd w:val="clear" w:color="auto" w:fill="FFFFFF"/>
          </w:tcPr>
          <w:p w14:paraId="03D33198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80" w:type="dxa"/>
            <w:gridSpan w:val="3"/>
            <w:shd w:val="clear" w:color="auto" w:fill="FFFFFF"/>
          </w:tcPr>
          <w:p w14:paraId="582237E2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81" w:type="dxa"/>
            <w:gridSpan w:val="2"/>
            <w:shd w:val="clear" w:color="auto" w:fill="FFFFFF"/>
          </w:tcPr>
          <w:p w14:paraId="33C6C4A0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81" w:type="dxa"/>
            <w:gridSpan w:val="2"/>
            <w:shd w:val="clear" w:color="auto" w:fill="FFFFFF"/>
          </w:tcPr>
          <w:p w14:paraId="6B71FAB3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77" w:type="dxa"/>
            <w:gridSpan w:val="2"/>
            <w:shd w:val="clear" w:color="auto" w:fill="FFFFFF"/>
          </w:tcPr>
          <w:p w14:paraId="0EAB974C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74" w:type="dxa"/>
            <w:gridSpan w:val="2"/>
            <w:shd w:val="clear" w:color="auto" w:fill="FFFFFF"/>
          </w:tcPr>
          <w:p w14:paraId="67D7F23C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62" w:type="dxa"/>
            <w:gridSpan w:val="3"/>
            <w:shd w:val="clear" w:color="auto" w:fill="FFFFFF"/>
          </w:tcPr>
          <w:p w14:paraId="6274C767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34" w:type="dxa"/>
            <w:gridSpan w:val="2"/>
            <w:shd w:val="clear" w:color="auto" w:fill="FFFFFF"/>
          </w:tcPr>
          <w:p w14:paraId="3512B1EE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33" w:type="dxa"/>
            <w:gridSpan w:val="2"/>
            <w:shd w:val="clear" w:color="auto" w:fill="FFFFFF"/>
          </w:tcPr>
          <w:p w14:paraId="2940C670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30" w:type="dxa"/>
            <w:shd w:val="clear" w:color="auto" w:fill="FFFFFF"/>
          </w:tcPr>
          <w:p w14:paraId="35097B66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37" w:type="dxa"/>
            <w:gridSpan w:val="2"/>
            <w:shd w:val="clear" w:color="auto" w:fill="FFFFFF"/>
          </w:tcPr>
          <w:p w14:paraId="47CFC12F" w14:textId="77777777" w:rsidR="008B1DA8" w:rsidRPr="00B37C80" w:rsidRDefault="008B1DA8" w:rsidP="00DE3780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</w:tr>
      <w:tr w:rsidR="00BE31BA" w:rsidRPr="008B4FE6" w14:paraId="774C12D0" w14:textId="77777777" w:rsidTr="00B753DA">
        <w:trPr>
          <w:trHeight w:val="330"/>
        </w:trPr>
        <w:tc>
          <w:tcPr>
            <w:tcW w:w="3600" w:type="dxa"/>
            <w:gridSpan w:val="4"/>
            <w:shd w:val="clear" w:color="auto" w:fill="FFFFFF"/>
            <w:vAlign w:val="center"/>
          </w:tcPr>
          <w:p w14:paraId="297B2D0F" w14:textId="77777777" w:rsidR="008B1DA8" w:rsidRPr="00C53F26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Wydatki ogółem</w:t>
            </w:r>
          </w:p>
        </w:tc>
        <w:tc>
          <w:tcPr>
            <w:tcW w:w="714" w:type="dxa"/>
            <w:shd w:val="clear" w:color="auto" w:fill="FFFFFF"/>
          </w:tcPr>
          <w:p w14:paraId="757C5FDA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05" w:type="dxa"/>
            <w:gridSpan w:val="3"/>
            <w:shd w:val="clear" w:color="auto" w:fill="FFFFFF"/>
          </w:tcPr>
          <w:p w14:paraId="3F76325F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80" w:type="dxa"/>
            <w:gridSpan w:val="3"/>
            <w:shd w:val="clear" w:color="auto" w:fill="FFFFFF"/>
          </w:tcPr>
          <w:p w14:paraId="347729E0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81" w:type="dxa"/>
            <w:gridSpan w:val="2"/>
            <w:shd w:val="clear" w:color="auto" w:fill="FFFFFF"/>
          </w:tcPr>
          <w:p w14:paraId="5A8E352A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81" w:type="dxa"/>
            <w:gridSpan w:val="2"/>
            <w:shd w:val="clear" w:color="auto" w:fill="FFFFFF"/>
          </w:tcPr>
          <w:p w14:paraId="1C9A6E57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77" w:type="dxa"/>
            <w:gridSpan w:val="2"/>
            <w:shd w:val="clear" w:color="auto" w:fill="FFFFFF"/>
          </w:tcPr>
          <w:p w14:paraId="6B87D087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74" w:type="dxa"/>
            <w:gridSpan w:val="2"/>
            <w:shd w:val="clear" w:color="auto" w:fill="FFFFFF"/>
          </w:tcPr>
          <w:p w14:paraId="5457AB7A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62" w:type="dxa"/>
            <w:gridSpan w:val="3"/>
            <w:shd w:val="clear" w:color="auto" w:fill="FFFFFF"/>
          </w:tcPr>
          <w:p w14:paraId="425A3878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34" w:type="dxa"/>
            <w:gridSpan w:val="2"/>
            <w:shd w:val="clear" w:color="auto" w:fill="FFFFFF"/>
          </w:tcPr>
          <w:p w14:paraId="1A352292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33" w:type="dxa"/>
            <w:gridSpan w:val="2"/>
            <w:shd w:val="clear" w:color="auto" w:fill="FFFFFF"/>
          </w:tcPr>
          <w:p w14:paraId="037BFFC1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30" w:type="dxa"/>
            <w:shd w:val="clear" w:color="auto" w:fill="FFFFFF"/>
          </w:tcPr>
          <w:p w14:paraId="470F31E1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37" w:type="dxa"/>
            <w:gridSpan w:val="2"/>
            <w:shd w:val="clear" w:color="auto" w:fill="FFFFFF"/>
          </w:tcPr>
          <w:p w14:paraId="2CF9695E" w14:textId="77777777" w:rsidR="008B1DA8" w:rsidRPr="00B37C80" w:rsidRDefault="008B1DA8" w:rsidP="00DE3780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</w:tr>
      <w:tr w:rsidR="00BE31BA" w:rsidRPr="008B4FE6" w14:paraId="460A0A14" w14:textId="77777777" w:rsidTr="00B753DA">
        <w:trPr>
          <w:trHeight w:val="330"/>
        </w:trPr>
        <w:tc>
          <w:tcPr>
            <w:tcW w:w="3600" w:type="dxa"/>
            <w:gridSpan w:val="4"/>
            <w:shd w:val="clear" w:color="auto" w:fill="FFFFFF"/>
            <w:vAlign w:val="center"/>
          </w:tcPr>
          <w:p w14:paraId="3C7AA355" w14:textId="77777777" w:rsidR="008B1DA8" w:rsidRPr="00C53F26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714" w:type="dxa"/>
            <w:shd w:val="clear" w:color="auto" w:fill="FFFFFF"/>
          </w:tcPr>
          <w:p w14:paraId="47D8D1C4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05" w:type="dxa"/>
            <w:gridSpan w:val="3"/>
            <w:shd w:val="clear" w:color="auto" w:fill="FFFFFF"/>
          </w:tcPr>
          <w:p w14:paraId="63F41688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80" w:type="dxa"/>
            <w:gridSpan w:val="3"/>
            <w:shd w:val="clear" w:color="auto" w:fill="FFFFFF"/>
          </w:tcPr>
          <w:p w14:paraId="26114071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81" w:type="dxa"/>
            <w:gridSpan w:val="2"/>
            <w:shd w:val="clear" w:color="auto" w:fill="FFFFFF"/>
          </w:tcPr>
          <w:p w14:paraId="7EE1EB24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81" w:type="dxa"/>
            <w:gridSpan w:val="2"/>
            <w:shd w:val="clear" w:color="auto" w:fill="FFFFFF"/>
          </w:tcPr>
          <w:p w14:paraId="3C06B7D8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77" w:type="dxa"/>
            <w:gridSpan w:val="2"/>
            <w:shd w:val="clear" w:color="auto" w:fill="FFFFFF"/>
          </w:tcPr>
          <w:p w14:paraId="68C7A55E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74" w:type="dxa"/>
            <w:gridSpan w:val="2"/>
            <w:shd w:val="clear" w:color="auto" w:fill="FFFFFF"/>
          </w:tcPr>
          <w:p w14:paraId="4E20076D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62" w:type="dxa"/>
            <w:gridSpan w:val="3"/>
            <w:shd w:val="clear" w:color="auto" w:fill="FFFFFF"/>
          </w:tcPr>
          <w:p w14:paraId="3DC9B93D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34" w:type="dxa"/>
            <w:gridSpan w:val="2"/>
            <w:shd w:val="clear" w:color="auto" w:fill="FFFFFF"/>
          </w:tcPr>
          <w:p w14:paraId="7ED42E6D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33" w:type="dxa"/>
            <w:gridSpan w:val="2"/>
            <w:shd w:val="clear" w:color="auto" w:fill="FFFFFF"/>
          </w:tcPr>
          <w:p w14:paraId="2D060090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30" w:type="dxa"/>
            <w:shd w:val="clear" w:color="auto" w:fill="FFFFFF"/>
          </w:tcPr>
          <w:p w14:paraId="5A505C9E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37" w:type="dxa"/>
            <w:gridSpan w:val="2"/>
            <w:shd w:val="clear" w:color="auto" w:fill="FFFFFF"/>
          </w:tcPr>
          <w:p w14:paraId="57FDFE1A" w14:textId="77777777" w:rsidR="008B1DA8" w:rsidRPr="00B37C80" w:rsidRDefault="008B1DA8" w:rsidP="00DE3780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</w:tr>
      <w:tr w:rsidR="00BE31BA" w:rsidRPr="008B4FE6" w14:paraId="4416168E" w14:textId="77777777" w:rsidTr="00B753DA">
        <w:trPr>
          <w:trHeight w:val="351"/>
        </w:trPr>
        <w:tc>
          <w:tcPr>
            <w:tcW w:w="3600" w:type="dxa"/>
            <w:gridSpan w:val="4"/>
            <w:shd w:val="clear" w:color="auto" w:fill="FFFFFF"/>
            <w:vAlign w:val="center"/>
          </w:tcPr>
          <w:p w14:paraId="0A318AEB" w14:textId="77777777" w:rsidR="008B1DA8" w:rsidRPr="00C53F26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714" w:type="dxa"/>
            <w:shd w:val="clear" w:color="auto" w:fill="FFFFFF"/>
          </w:tcPr>
          <w:p w14:paraId="29AB1132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05" w:type="dxa"/>
            <w:gridSpan w:val="3"/>
            <w:shd w:val="clear" w:color="auto" w:fill="FFFFFF"/>
          </w:tcPr>
          <w:p w14:paraId="22BF6B01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80" w:type="dxa"/>
            <w:gridSpan w:val="3"/>
            <w:shd w:val="clear" w:color="auto" w:fill="FFFFFF"/>
          </w:tcPr>
          <w:p w14:paraId="2478D5EA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81" w:type="dxa"/>
            <w:gridSpan w:val="2"/>
            <w:shd w:val="clear" w:color="auto" w:fill="FFFFFF"/>
          </w:tcPr>
          <w:p w14:paraId="4AB32F99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81" w:type="dxa"/>
            <w:gridSpan w:val="2"/>
            <w:shd w:val="clear" w:color="auto" w:fill="FFFFFF"/>
          </w:tcPr>
          <w:p w14:paraId="5735E642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77" w:type="dxa"/>
            <w:gridSpan w:val="2"/>
            <w:shd w:val="clear" w:color="auto" w:fill="FFFFFF"/>
          </w:tcPr>
          <w:p w14:paraId="49CF5E79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74" w:type="dxa"/>
            <w:gridSpan w:val="2"/>
            <w:shd w:val="clear" w:color="auto" w:fill="FFFFFF"/>
          </w:tcPr>
          <w:p w14:paraId="33682266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62" w:type="dxa"/>
            <w:gridSpan w:val="3"/>
            <w:shd w:val="clear" w:color="auto" w:fill="FFFFFF"/>
          </w:tcPr>
          <w:p w14:paraId="3CFC5FBF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34" w:type="dxa"/>
            <w:gridSpan w:val="2"/>
            <w:shd w:val="clear" w:color="auto" w:fill="FFFFFF"/>
          </w:tcPr>
          <w:p w14:paraId="38F2012C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33" w:type="dxa"/>
            <w:gridSpan w:val="2"/>
            <w:shd w:val="clear" w:color="auto" w:fill="FFFFFF"/>
          </w:tcPr>
          <w:p w14:paraId="3723C635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30" w:type="dxa"/>
            <w:shd w:val="clear" w:color="auto" w:fill="FFFFFF"/>
          </w:tcPr>
          <w:p w14:paraId="7277B532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37" w:type="dxa"/>
            <w:gridSpan w:val="2"/>
            <w:shd w:val="clear" w:color="auto" w:fill="FFFFFF"/>
          </w:tcPr>
          <w:p w14:paraId="756F261D" w14:textId="77777777" w:rsidR="008B1DA8" w:rsidRPr="00B37C80" w:rsidRDefault="008B1DA8" w:rsidP="00DE3780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</w:tr>
      <w:tr w:rsidR="00BE31BA" w:rsidRPr="008B4FE6" w14:paraId="3E2ABBEE" w14:textId="77777777" w:rsidTr="00B753DA">
        <w:trPr>
          <w:trHeight w:val="351"/>
        </w:trPr>
        <w:tc>
          <w:tcPr>
            <w:tcW w:w="3600" w:type="dxa"/>
            <w:gridSpan w:val="4"/>
            <w:shd w:val="clear" w:color="auto" w:fill="FFFFFF"/>
            <w:vAlign w:val="center"/>
          </w:tcPr>
          <w:p w14:paraId="1E6C0E58" w14:textId="77777777" w:rsidR="008B1DA8" w:rsidRPr="00C53F26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714" w:type="dxa"/>
            <w:shd w:val="clear" w:color="auto" w:fill="FFFFFF"/>
          </w:tcPr>
          <w:p w14:paraId="326F07C2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05" w:type="dxa"/>
            <w:gridSpan w:val="3"/>
            <w:shd w:val="clear" w:color="auto" w:fill="FFFFFF"/>
          </w:tcPr>
          <w:p w14:paraId="68896362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80" w:type="dxa"/>
            <w:gridSpan w:val="3"/>
            <w:shd w:val="clear" w:color="auto" w:fill="FFFFFF"/>
          </w:tcPr>
          <w:p w14:paraId="79B6927F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81" w:type="dxa"/>
            <w:gridSpan w:val="2"/>
            <w:shd w:val="clear" w:color="auto" w:fill="FFFFFF"/>
          </w:tcPr>
          <w:p w14:paraId="6C1F018D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81" w:type="dxa"/>
            <w:gridSpan w:val="2"/>
            <w:shd w:val="clear" w:color="auto" w:fill="FFFFFF"/>
          </w:tcPr>
          <w:p w14:paraId="7C8B8251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77" w:type="dxa"/>
            <w:gridSpan w:val="2"/>
            <w:shd w:val="clear" w:color="auto" w:fill="FFFFFF"/>
          </w:tcPr>
          <w:p w14:paraId="0F13669F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74" w:type="dxa"/>
            <w:gridSpan w:val="2"/>
            <w:shd w:val="clear" w:color="auto" w:fill="FFFFFF"/>
          </w:tcPr>
          <w:p w14:paraId="7654ABB7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62" w:type="dxa"/>
            <w:gridSpan w:val="3"/>
            <w:shd w:val="clear" w:color="auto" w:fill="FFFFFF"/>
          </w:tcPr>
          <w:p w14:paraId="294C7009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34" w:type="dxa"/>
            <w:gridSpan w:val="2"/>
            <w:shd w:val="clear" w:color="auto" w:fill="FFFFFF"/>
          </w:tcPr>
          <w:p w14:paraId="7472DA1D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33" w:type="dxa"/>
            <w:gridSpan w:val="2"/>
            <w:shd w:val="clear" w:color="auto" w:fill="FFFFFF"/>
          </w:tcPr>
          <w:p w14:paraId="75268A5C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30" w:type="dxa"/>
            <w:shd w:val="clear" w:color="auto" w:fill="FFFFFF"/>
          </w:tcPr>
          <w:p w14:paraId="6296E720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37" w:type="dxa"/>
            <w:gridSpan w:val="2"/>
            <w:shd w:val="clear" w:color="auto" w:fill="FFFFFF"/>
          </w:tcPr>
          <w:p w14:paraId="522DB2A1" w14:textId="77777777" w:rsidR="008B1DA8" w:rsidRPr="00B37C80" w:rsidRDefault="008B1DA8" w:rsidP="00DE3780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</w:tr>
      <w:tr w:rsidR="00BE31BA" w:rsidRPr="008B4FE6" w14:paraId="192F4F11" w14:textId="77777777" w:rsidTr="00B753DA">
        <w:trPr>
          <w:trHeight w:val="360"/>
        </w:trPr>
        <w:tc>
          <w:tcPr>
            <w:tcW w:w="3600" w:type="dxa"/>
            <w:gridSpan w:val="4"/>
            <w:shd w:val="clear" w:color="auto" w:fill="FFFFFF"/>
            <w:vAlign w:val="center"/>
          </w:tcPr>
          <w:p w14:paraId="08787374" w14:textId="77777777" w:rsidR="008B1DA8" w:rsidRPr="00C53F26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Saldo ogółem</w:t>
            </w:r>
          </w:p>
        </w:tc>
        <w:tc>
          <w:tcPr>
            <w:tcW w:w="714" w:type="dxa"/>
            <w:shd w:val="clear" w:color="auto" w:fill="FFFFFF"/>
          </w:tcPr>
          <w:p w14:paraId="0FF1E264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05" w:type="dxa"/>
            <w:gridSpan w:val="3"/>
            <w:shd w:val="clear" w:color="auto" w:fill="FFFFFF"/>
          </w:tcPr>
          <w:p w14:paraId="4D86C11D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80" w:type="dxa"/>
            <w:gridSpan w:val="3"/>
            <w:shd w:val="clear" w:color="auto" w:fill="FFFFFF"/>
          </w:tcPr>
          <w:p w14:paraId="45AB4482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81" w:type="dxa"/>
            <w:gridSpan w:val="2"/>
            <w:shd w:val="clear" w:color="auto" w:fill="FFFFFF"/>
          </w:tcPr>
          <w:p w14:paraId="56701A4C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81" w:type="dxa"/>
            <w:gridSpan w:val="2"/>
            <w:shd w:val="clear" w:color="auto" w:fill="FFFFFF"/>
          </w:tcPr>
          <w:p w14:paraId="25ADC51B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77" w:type="dxa"/>
            <w:gridSpan w:val="2"/>
            <w:shd w:val="clear" w:color="auto" w:fill="FFFFFF"/>
          </w:tcPr>
          <w:p w14:paraId="166F5B14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74" w:type="dxa"/>
            <w:gridSpan w:val="2"/>
            <w:shd w:val="clear" w:color="auto" w:fill="FFFFFF"/>
          </w:tcPr>
          <w:p w14:paraId="4905BF91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62" w:type="dxa"/>
            <w:gridSpan w:val="3"/>
            <w:shd w:val="clear" w:color="auto" w:fill="FFFFFF"/>
          </w:tcPr>
          <w:p w14:paraId="7C930B71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34" w:type="dxa"/>
            <w:gridSpan w:val="2"/>
            <w:shd w:val="clear" w:color="auto" w:fill="FFFFFF"/>
          </w:tcPr>
          <w:p w14:paraId="302AF23A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33" w:type="dxa"/>
            <w:gridSpan w:val="2"/>
            <w:shd w:val="clear" w:color="auto" w:fill="FFFFFF"/>
          </w:tcPr>
          <w:p w14:paraId="7A9B5E6D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30" w:type="dxa"/>
            <w:shd w:val="clear" w:color="auto" w:fill="FFFFFF"/>
          </w:tcPr>
          <w:p w14:paraId="3582871D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37" w:type="dxa"/>
            <w:gridSpan w:val="2"/>
            <w:shd w:val="clear" w:color="auto" w:fill="FFFFFF"/>
          </w:tcPr>
          <w:p w14:paraId="6B8645C4" w14:textId="77777777" w:rsidR="008B1DA8" w:rsidRPr="00B37C80" w:rsidRDefault="008B1DA8" w:rsidP="00DE3780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</w:tr>
      <w:tr w:rsidR="00BE31BA" w:rsidRPr="008B4FE6" w14:paraId="0C3C6124" w14:textId="77777777" w:rsidTr="00B753DA">
        <w:trPr>
          <w:trHeight w:val="360"/>
        </w:trPr>
        <w:tc>
          <w:tcPr>
            <w:tcW w:w="3600" w:type="dxa"/>
            <w:gridSpan w:val="4"/>
            <w:shd w:val="clear" w:color="auto" w:fill="FFFFFF"/>
            <w:vAlign w:val="center"/>
          </w:tcPr>
          <w:p w14:paraId="46F8F127" w14:textId="77777777" w:rsidR="008B1DA8" w:rsidRPr="00C53F26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714" w:type="dxa"/>
            <w:shd w:val="clear" w:color="auto" w:fill="FFFFFF"/>
          </w:tcPr>
          <w:p w14:paraId="574844ED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05" w:type="dxa"/>
            <w:gridSpan w:val="3"/>
            <w:shd w:val="clear" w:color="auto" w:fill="FFFFFF"/>
          </w:tcPr>
          <w:p w14:paraId="0A89172F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80" w:type="dxa"/>
            <w:gridSpan w:val="3"/>
            <w:shd w:val="clear" w:color="auto" w:fill="FFFFFF"/>
          </w:tcPr>
          <w:p w14:paraId="484B2CCE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81" w:type="dxa"/>
            <w:gridSpan w:val="2"/>
            <w:shd w:val="clear" w:color="auto" w:fill="FFFFFF"/>
          </w:tcPr>
          <w:p w14:paraId="0702C6A9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81" w:type="dxa"/>
            <w:gridSpan w:val="2"/>
            <w:shd w:val="clear" w:color="auto" w:fill="FFFFFF"/>
          </w:tcPr>
          <w:p w14:paraId="108C037C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77" w:type="dxa"/>
            <w:gridSpan w:val="2"/>
            <w:shd w:val="clear" w:color="auto" w:fill="FFFFFF"/>
          </w:tcPr>
          <w:p w14:paraId="666E6777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74" w:type="dxa"/>
            <w:gridSpan w:val="2"/>
            <w:shd w:val="clear" w:color="auto" w:fill="FFFFFF"/>
          </w:tcPr>
          <w:p w14:paraId="34841BA5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62" w:type="dxa"/>
            <w:gridSpan w:val="3"/>
            <w:shd w:val="clear" w:color="auto" w:fill="FFFFFF"/>
          </w:tcPr>
          <w:p w14:paraId="4B25537F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34" w:type="dxa"/>
            <w:gridSpan w:val="2"/>
            <w:shd w:val="clear" w:color="auto" w:fill="FFFFFF"/>
          </w:tcPr>
          <w:p w14:paraId="7200FEB5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33" w:type="dxa"/>
            <w:gridSpan w:val="2"/>
            <w:shd w:val="clear" w:color="auto" w:fill="FFFFFF"/>
          </w:tcPr>
          <w:p w14:paraId="2B386236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30" w:type="dxa"/>
            <w:shd w:val="clear" w:color="auto" w:fill="FFFFFF"/>
          </w:tcPr>
          <w:p w14:paraId="2D1C8038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37" w:type="dxa"/>
            <w:gridSpan w:val="2"/>
            <w:shd w:val="clear" w:color="auto" w:fill="FFFFFF"/>
          </w:tcPr>
          <w:p w14:paraId="396FAC93" w14:textId="77777777" w:rsidR="008B1DA8" w:rsidRPr="00B37C80" w:rsidRDefault="008B1DA8" w:rsidP="00DE3780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</w:tr>
      <w:tr w:rsidR="00BE31BA" w:rsidRPr="008B4FE6" w14:paraId="3C856578" w14:textId="77777777" w:rsidTr="00B753DA">
        <w:trPr>
          <w:trHeight w:val="357"/>
        </w:trPr>
        <w:tc>
          <w:tcPr>
            <w:tcW w:w="3600" w:type="dxa"/>
            <w:gridSpan w:val="4"/>
            <w:shd w:val="clear" w:color="auto" w:fill="FFFFFF"/>
            <w:vAlign w:val="center"/>
          </w:tcPr>
          <w:p w14:paraId="03675E79" w14:textId="77777777" w:rsidR="008B1DA8" w:rsidRPr="00C53F26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714" w:type="dxa"/>
            <w:shd w:val="clear" w:color="auto" w:fill="FFFFFF"/>
          </w:tcPr>
          <w:p w14:paraId="2FA00ADF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05" w:type="dxa"/>
            <w:gridSpan w:val="3"/>
            <w:shd w:val="clear" w:color="auto" w:fill="FFFFFF"/>
          </w:tcPr>
          <w:p w14:paraId="29CDC85B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80" w:type="dxa"/>
            <w:gridSpan w:val="3"/>
            <w:shd w:val="clear" w:color="auto" w:fill="FFFFFF"/>
          </w:tcPr>
          <w:p w14:paraId="568C1F80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81" w:type="dxa"/>
            <w:gridSpan w:val="2"/>
            <w:shd w:val="clear" w:color="auto" w:fill="FFFFFF"/>
          </w:tcPr>
          <w:p w14:paraId="58A16689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81" w:type="dxa"/>
            <w:gridSpan w:val="2"/>
            <w:shd w:val="clear" w:color="auto" w:fill="FFFFFF"/>
          </w:tcPr>
          <w:p w14:paraId="42E78B55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77" w:type="dxa"/>
            <w:gridSpan w:val="2"/>
            <w:shd w:val="clear" w:color="auto" w:fill="FFFFFF"/>
          </w:tcPr>
          <w:p w14:paraId="47D9157E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74" w:type="dxa"/>
            <w:gridSpan w:val="2"/>
            <w:shd w:val="clear" w:color="auto" w:fill="FFFFFF"/>
          </w:tcPr>
          <w:p w14:paraId="6E1A65E7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62" w:type="dxa"/>
            <w:gridSpan w:val="3"/>
            <w:shd w:val="clear" w:color="auto" w:fill="FFFFFF"/>
          </w:tcPr>
          <w:p w14:paraId="05C434AD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34" w:type="dxa"/>
            <w:gridSpan w:val="2"/>
            <w:shd w:val="clear" w:color="auto" w:fill="FFFFFF"/>
          </w:tcPr>
          <w:p w14:paraId="532577BC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33" w:type="dxa"/>
            <w:gridSpan w:val="2"/>
            <w:shd w:val="clear" w:color="auto" w:fill="FFFFFF"/>
          </w:tcPr>
          <w:p w14:paraId="5F6F4B8D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30" w:type="dxa"/>
            <w:shd w:val="clear" w:color="auto" w:fill="FFFFFF"/>
          </w:tcPr>
          <w:p w14:paraId="4BB23B69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37" w:type="dxa"/>
            <w:gridSpan w:val="2"/>
            <w:shd w:val="clear" w:color="auto" w:fill="FFFFFF"/>
          </w:tcPr>
          <w:p w14:paraId="0F9E0729" w14:textId="77777777" w:rsidR="008B1DA8" w:rsidRPr="00B37C80" w:rsidRDefault="008B1DA8" w:rsidP="00DE3780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</w:tr>
      <w:tr w:rsidR="00BE31BA" w:rsidRPr="008B4FE6" w14:paraId="2283B567" w14:textId="77777777" w:rsidTr="00B753DA">
        <w:trPr>
          <w:trHeight w:val="357"/>
        </w:trPr>
        <w:tc>
          <w:tcPr>
            <w:tcW w:w="3600" w:type="dxa"/>
            <w:gridSpan w:val="4"/>
            <w:shd w:val="clear" w:color="auto" w:fill="FFFFFF"/>
            <w:vAlign w:val="center"/>
          </w:tcPr>
          <w:p w14:paraId="6492818F" w14:textId="77777777" w:rsidR="008B1DA8" w:rsidRPr="00C53F26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714" w:type="dxa"/>
            <w:shd w:val="clear" w:color="auto" w:fill="FFFFFF"/>
          </w:tcPr>
          <w:p w14:paraId="63814A67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05" w:type="dxa"/>
            <w:gridSpan w:val="3"/>
            <w:shd w:val="clear" w:color="auto" w:fill="FFFFFF"/>
          </w:tcPr>
          <w:p w14:paraId="72102A21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80" w:type="dxa"/>
            <w:gridSpan w:val="3"/>
            <w:shd w:val="clear" w:color="auto" w:fill="FFFFFF"/>
          </w:tcPr>
          <w:p w14:paraId="712D3696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81" w:type="dxa"/>
            <w:gridSpan w:val="2"/>
            <w:shd w:val="clear" w:color="auto" w:fill="FFFFFF"/>
          </w:tcPr>
          <w:p w14:paraId="6E940968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81" w:type="dxa"/>
            <w:gridSpan w:val="2"/>
            <w:shd w:val="clear" w:color="auto" w:fill="FFFFFF"/>
          </w:tcPr>
          <w:p w14:paraId="4039D0CB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77" w:type="dxa"/>
            <w:gridSpan w:val="2"/>
            <w:shd w:val="clear" w:color="auto" w:fill="FFFFFF"/>
          </w:tcPr>
          <w:p w14:paraId="050BD8E3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74" w:type="dxa"/>
            <w:gridSpan w:val="2"/>
            <w:shd w:val="clear" w:color="auto" w:fill="FFFFFF"/>
          </w:tcPr>
          <w:p w14:paraId="328C277A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62" w:type="dxa"/>
            <w:gridSpan w:val="3"/>
            <w:shd w:val="clear" w:color="auto" w:fill="FFFFFF"/>
          </w:tcPr>
          <w:p w14:paraId="45D330D6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34" w:type="dxa"/>
            <w:gridSpan w:val="2"/>
            <w:shd w:val="clear" w:color="auto" w:fill="FFFFFF"/>
          </w:tcPr>
          <w:p w14:paraId="52056073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33" w:type="dxa"/>
            <w:gridSpan w:val="2"/>
            <w:shd w:val="clear" w:color="auto" w:fill="FFFFFF"/>
          </w:tcPr>
          <w:p w14:paraId="33520C65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30" w:type="dxa"/>
            <w:shd w:val="clear" w:color="auto" w:fill="FFFFFF"/>
          </w:tcPr>
          <w:p w14:paraId="6DB258C1" w14:textId="77777777" w:rsidR="008B1DA8" w:rsidRPr="00B37C80" w:rsidRDefault="008B1DA8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37" w:type="dxa"/>
            <w:gridSpan w:val="2"/>
            <w:shd w:val="clear" w:color="auto" w:fill="FFFFFF"/>
          </w:tcPr>
          <w:p w14:paraId="6E03CAB0" w14:textId="77777777" w:rsidR="008B1DA8" w:rsidRPr="00B37C80" w:rsidRDefault="008B1DA8" w:rsidP="00DE3780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03CD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</w:tr>
      <w:tr w:rsidR="006A701A" w:rsidRPr="008B4FE6" w14:paraId="63B14DB9" w14:textId="77777777" w:rsidTr="00B753DA">
        <w:trPr>
          <w:trHeight w:val="348"/>
        </w:trPr>
        <w:tc>
          <w:tcPr>
            <w:tcW w:w="2867" w:type="dxa"/>
            <w:gridSpan w:val="3"/>
            <w:shd w:val="clear" w:color="auto" w:fill="FFFFFF"/>
            <w:vAlign w:val="center"/>
          </w:tcPr>
          <w:p w14:paraId="31D306D0" w14:textId="77777777" w:rsidR="006A701A" w:rsidRPr="00C53F26" w:rsidRDefault="006A701A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Źródła finansowania </w:t>
            </w:r>
          </w:p>
        </w:tc>
        <w:tc>
          <w:tcPr>
            <w:tcW w:w="8141" w:type="dxa"/>
            <w:gridSpan w:val="26"/>
            <w:shd w:val="clear" w:color="auto" w:fill="FFFFFF"/>
            <w:vAlign w:val="center"/>
          </w:tcPr>
          <w:p w14:paraId="07B91D9A" w14:textId="77777777" w:rsidR="006A701A" w:rsidRPr="00B37C80" w:rsidRDefault="00675E90" w:rsidP="00675E90">
            <w:pPr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Projektowana regulacja może wywołać skutki finansowe w zakresie zmian koniecznych do wdrożenia w </w:t>
            </w:r>
            <w:r w:rsidR="004E521F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systemach </w:t>
            </w:r>
            <w:r w:rsidR="004E521F" w:rsidRPr="00B753DA">
              <w:rPr>
                <w:rFonts w:ascii="Times New Roman" w:hAnsi="Times New Roman"/>
                <w:color w:val="000000"/>
                <w:sz w:val="21"/>
                <w:szCs w:val="21"/>
              </w:rPr>
              <w:t>te</w:t>
            </w:r>
            <w:r w:rsidR="00B753DA">
              <w:rPr>
                <w:rFonts w:ascii="Times New Roman" w:hAnsi="Times New Roman"/>
                <w:color w:val="000000"/>
                <w:sz w:val="21"/>
                <w:szCs w:val="21"/>
              </w:rPr>
              <w:t>leinformatycznych</w:t>
            </w:r>
            <w:r w:rsidR="004E521F" w:rsidRPr="00B753DA">
              <w:rPr>
                <w:rFonts w:ascii="Times New Roman" w:hAnsi="Times New Roman"/>
                <w:color w:val="000000"/>
                <w:sz w:val="21"/>
                <w:szCs w:val="21"/>
              </w:rPr>
              <w:t>,</w:t>
            </w:r>
            <w:r w:rsidR="004E521F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które zostały omówione w ocenie skutków regulacji do projektu </w:t>
            </w:r>
            <w:r w:rsidR="004E521F" w:rsidRPr="004E521F">
              <w:rPr>
                <w:rFonts w:ascii="Times New Roman" w:hAnsi="Times New Roman"/>
                <w:color w:val="000000"/>
                <w:sz w:val="21"/>
                <w:szCs w:val="21"/>
              </w:rPr>
              <w:t>ustawy o zmianie ustawy – Kodeks postępowania karnego oraz niektórych innych ustaw</w:t>
            </w:r>
            <w:r w:rsidR="004E521F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(</w:t>
            </w:r>
            <w:r w:rsidR="004E521F" w:rsidRPr="004E521F">
              <w:rPr>
                <w:rFonts w:ascii="Times New Roman" w:hAnsi="Times New Roman"/>
                <w:color w:val="000000"/>
                <w:sz w:val="21"/>
                <w:szCs w:val="21"/>
              </w:rPr>
              <w:t>UD143</w:t>
            </w:r>
            <w:r w:rsidR="004E521F">
              <w:rPr>
                <w:rFonts w:ascii="Times New Roman" w:hAnsi="Times New Roman"/>
                <w:color w:val="000000"/>
                <w:sz w:val="21"/>
                <w:szCs w:val="21"/>
              </w:rPr>
              <w:t>).</w:t>
            </w:r>
          </w:p>
        </w:tc>
      </w:tr>
      <w:tr w:rsidR="00E24BD7" w:rsidRPr="008B4FE6" w14:paraId="31C0E669" w14:textId="77777777" w:rsidTr="00B43F0A">
        <w:trPr>
          <w:trHeight w:val="664"/>
        </w:trPr>
        <w:tc>
          <w:tcPr>
            <w:tcW w:w="2867" w:type="dxa"/>
            <w:gridSpan w:val="3"/>
            <w:shd w:val="clear" w:color="auto" w:fill="FFFFFF"/>
          </w:tcPr>
          <w:p w14:paraId="23FF9590" w14:textId="77777777" w:rsidR="00E24BD7" w:rsidRPr="00C53F26" w:rsidRDefault="001B3460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Dodatkowe informacje, w tym wskazanie źródeł danych i przyjętych do obliczeń założeń</w:t>
            </w:r>
          </w:p>
        </w:tc>
        <w:tc>
          <w:tcPr>
            <w:tcW w:w="8141" w:type="dxa"/>
            <w:gridSpan w:val="26"/>
            <w:shd w:val="clear" w:color="auto" w:fill="FFFFFF"/>
          </w:tcPr>
          <w:p w14:paraId="1F19899C" w14:textId="77777777" w:rsidR="00123239" w:rsidRPr="00E3168B" w:rsidRDefault="00123239" w:rsidP="00801040">
            <w:pPr>
              <w:jc w:val="both"/>
            </w:pPr>
          </w:p>
        </w:tc>
      </w:tr>
      <w:tr w:rsidR="006A701A" w:rsidRPr="008B4FE6" w14:paraId="4699505B" w14:textId="77777777" w:rsidTr="00B753DA">
        <w:trPr>
          <w:trHeight w:val="345"/>
        </w:trPr>
        <w:tc>
          <w:tcPr>
            <w:tcW w:w="11008" w:type="dxa"/>
            <w:gridSpan w:val="29"/>
            <w:shd w:val="clear" w:color="auto" w:fill="99CCFF"/>
          </w:tcPr>
          <w:p w14:paraId="50542196" w14:textId="77777777" w:rsidR="006A701A" w:rsidRPr="008B4FE6" w:rsidRDefault="006A701A">
            <w:pPr>
              <w:numPr>
                <w:ilvl w:val="0"/>
                <w:numId w:val="1"/>
              </w:numPr>
              <w:spacing w:before="120" w:after="120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Wpływ na </w:t>
            </w:r>
            <w:r w:rsidR="00563199" w:rsidRPr="008B4FE6">
              <w:rPr>
                <w:rFonts w:ascii="Times New Roman" w:hAnsi="Times New Roman"/>
                <w:b/>
                <w:color w:val="000000"/>
              </w:rPr>
              <w:t xml:space="preserve">konkurencyjność 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>gospodark</w:t>
            </w:r>
            <w:r w:rsidR="00563199">
              <w:rPr>
                <w:rFonts w:ascii="Times New Roman" w:hAnsi="Times New Roman"/>
                <w:b/>
                <w:color w:val="000000"/>
              </w:rPr>
              <w:t>i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705A29">
              <w:rPr>
                <w:rFonts w:ascii="Times New Roman" w:hAnsi="Times New Roman"/>
                <w:b/>
                <w:color w:val="000000"/>
              </w:rPr>
              <w:t>i</w:t>
            </w:r>
            <w:r w:rsidR="00563199">
              <w:rPr>
                <w:rFonts w:ascii="Times New Roman" w:hAnsi="Times New Roman"/>
                <w:b/>
                <w:color w:val="000000"/>
              </w:rPr>
              <w:t xml:space="preserve"> przedsiębiorczość</w:t>
            </w:r>
            <w:r w:rsidR="00472E45">
              <w:rPr>
                <w:rFonts w:ascii="Times New Roman" w:hAnsi="Times New Roman"/>
                <w:b/>
                <w:color w:val="000000"/>
              </w:rPr>
              <w:t>,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705A29">
              <w:rPr>
                <w:rFonts w:ascii="Times New Roman" w:hAnsi="Times New Roman"/>
                <w:b/>
                <w:color w:val="000000"/>
              </w:rPr>
              <w:t xml:space="preserve">w tym 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>funkcjonowanie przedsiębi</w:t>
            </w:r>
            <w:r w:rsidR="00B93834">
              <w:rPr>
                <w:rFonts w:ascii="Times New Roman" w:hAnsi="Times New Roman"/>
                <w:b/>
                <w:color w:val="000000"/>
              </w:rPr>
              <w:t>orców</w:t>
            </w:r>
            <w:r w:rsidR="00472E45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B93834">
              <w:rPr>
                <w:rFonts w:ascii="Times New Roman" w:hAnsi="Times New Roman"/>
                <w:b/>
                <w:color w:val="000000"/>
              </w:rPr>
              <w:t xml:space="preserve">oraz na </w:t>
            </w:r>
            <w:r w:rsidR="00BB0DCA">
              <w:rPr>
                <w:rFonts w:ascii="Times New Roman" w:hAnsi="Times New Roman"/>
                <w:b/>
                <w:color w:val="000000"/>
              </w:rPr>
              <w:t xml:space="preserve">rodzinę, </w:t>
            </w:r>
            <w:r w:rsidR="00B93834">
              <w:rPr>
                <w:rFonts w:ascii="Times New Roman" w:hAnsi="Times New Roman"/>
                <w:b/>
                <w:color w:val="000000"/>
              </w:rPr>
              <w:t xml:space="preserve">obywateli i gospodarstwa domowe </w:t>
            </w:r>
          </w:p>
        </w:tc>
      </w:tr>
      <w:tr w:rsidR="005E7371" w:rsidRPr="008B4FE6" w14:paraId="3318C909" w14:textId="77777777" w:rsidTr="00B753DA">
        <w:trPr>
          <w:trHeight w:val="142"/>
        </w:trPr>
        <w:tc>
          <w:tcPr>
            <w:tcW w:w="11008" w:type="dxa"/>
            <w:gridSpan w:val="29"/>
            <w:shd w:val="clear" w:color="auto" w:fill="FFFFFF"/>
          </w:tcPr>
          <w:p w14:paraId="02AC9D3C" w14:textId="77777777" w:rsidR="005E7371" w:rsidRPr="00301959" w:rsidRDefault="001B3460" w:rsidP="00DE3780">
            <w:pPr>
              <w:jc w:val="center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Skutki</w:t>
            </w:r>
          </w:p>
        </w:tc>
      </w:tr>
      <w:tr w:rsidR="000B2608" w:rsidRPr="008B4FE6" w14:paraId="373D91E8" w14:textId="77777777" w:rsidTr="00B753DA">
        <w:trPr>
          <w:trHeight w:val="142"/>
        </w:trPr>
        <w:tc>
          <w:tcPr>
            <w:tcW w:w="4432" w:type="dxa"/>
            <w:gridSpan w:val="6"/>
            <w:shd w:val="clear" w:color="auto" w:fill="FFFFFF"/>
          </w:tcPr>
          <w:p w14:paraId="58E527A0" w14:textId="77777777" w:rsidR="002E6D63" w:rsidRPr="00301959" w:rsidRDefault="002E6D63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Czas w latach od wejścia w życie zmian</w:t>
            </w:r>
          </w:p>
        </w:tc>
        <w:tc>
          <w:tcPr>
            <w:tcW w:w="844" w:type="dxa"/>
            <w:gridSpan w:val="4"/>
            <w:shd w:val="clear" w:color="auto" w:fill="FFFFFF"/>
          </w:tcPr>
          <w:p w14:paraId="6A2E0F4C" w14:textId="77777777" w:rsidR="002E6D63" w:rsidRPr="00301959" w:rsidRDefault="002E6D63" w:rsidP="00DE3780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97" w:type="dxa"/>
            <w:gridSpan w:val="4"/>
            <w:shd w:val="clear" w:color="auto" w:fill="FFFFFF"/>
          </w:tcPr>
          <w:p w14:paraId="040DBF37" w14:textId="77777777" w:rsidR="002E6D63" w:rsidRPr="00301959" w:rsidRDefault="002E6D63" w:rsidP="00DE3780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800" w:type="dxa"/>
            <w:gridSpan w:val="4"/>
            <w:shd w:val="clear" w:color="auto" w:fill="FFFFFF"/>
          </w:tcPr>
          <w:p w14:paraId="1E6D43F9" w14:textId="77777777" w:rsidR="002E6D63" w:rsidRPr="00301959" w:rsidRDefault="002E6D63" w:rsidP="00DE3780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756" w:type="dxa"/>
            <w:gridSpan w:val="3"/>
            <w:shd w:val="clear" w:color="auto" w:fill="FFFFFF"/>
          </w:tcPr>
          <w:p w14:paraId="60D57AA0" w14:textId="77777777" w:rsidR="002E6D63" w:rsidRPr="00301959" w:rsidRDefault="002E6D63" w:rsidP="00DE3780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719" w:type="dxa"/>
            <w:gridSpan w:val="4"/>
            <w:shd w:val="clear" w:color="auto" w:fill="FFFFFF"/>
          </w:tcPr>
          <w:p w14:paraId="78CE3DCA" w14:textId="77777777" w:rsidR="002E6D63" w:rsidRPr="00301959" w:rsidRDefault="002E6D63" w:rsidP="00DE3780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1014" w:type="dxa"/>
            <w:gridSpan w:val="3"/>
            <w:shd w:val="clear" w:color="auto" w:fill="FFFFFF"/>
          </w:tcPr>
          <w:p w14:paraId="1B255D47" w14:textId="77777777" w:rsidR="002E6D63" w:rsidRPr="00301959" w:rsidRDefault="002E6D63" w:rsidP="00DE3780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646" w:type="dxa"/>
            <w:shd w:val="clear" w:color="auto" w:fill="FFFFFF"/>
          </w:tcPr>
          <w:p w14:paraId="0378400B" w14:textId="77777777" w:rsidR="002E6D63" w:rsidRPr="001B3460" w:rsidRDefault="002E6D63" w:rsidP="00DE3780">
            <w:pPr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 w:rsidRPr="001B3460" w:rsidDel="0073273A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</w:t>
            </w:r>
            <w:r w:rsidR="001B3460"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(0-10)</w:t>
            </w:r>
          </w:p>
        </w:tc>
      </w:tr>
      <w:tr w:rsidR="00BE31BA" w:rsidRPr="008B4FE6" w14:paraId="222BB318" w14:textId="77777777" w:rsidTr="00B753DA">
        <w:trPr>
          <w:trHeight w:val="142"/>
        </w:trPr>
        <w:tc>
          <w:tcPr>
            <w:tcW w:w="2305" w:type="dxa"/>
            <w:vMerge w:val="restart"/>
            <w:shd w:val="clear" w:color="auto" w:fill="FFFFFF"/>
          </w:tcPr>
          <w:p w14:paraId="501335B1" w14:textId="77777777" w:rsidR="006F78C4" w:rsidRDefault="002E6D63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W </w:t>
            </w:r>
            <w:r w:rsidR="001B3460">
              <w:rPr>
                <w:rFonts w:ascii="Times New Roman" w:hAnsi="Times New Roman"/>
                <w:color w:val="000000"/>
                <w:sz w:val="21"/>
                <w:szCs w:val="21"/>
              </w:rPr>
              <w:t>ujęciu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pieniężnym</w:t>
            </w:r>
          </w:p>
          <w:p w14:paraId="0BFF9AED" w14:textId="77777777" w:rsidR="006F78C4" w:rsidRDefault="006F78C4" w:rsidP="00DE3780">
            <w:pPr>
              <w:rPr>
                <w:rFonts w:ascii="Times New Roman" w:hAnsi="Times New Roman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lastRenderedPageBreak/>
              <w:t xml:space="preserve">(w mln zł, </w:t>
            </w:r>
          </w:p>
          <w:p w14:paraId="67E71E7B" w14:textId="227E28AC" w:rsidR="002E6D63" w:rsidRPr="00301959" w:rsidRDefault="006F78C4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t xml:space="preserve">ceny </w:t>
            </w:r>
            <w:r w:rsidR="00CF5F4F">
              <w:rPr>
                <w:rFonts w:ascii="Times New Roman" w:hAnsi="Times New Roman"/>
                <w:spacing w:val="-2"/>
                <w:sz w:val="21"/>
                <w:szCs w:val="21"/>
              </w:rPr>
              <w:t>stałe</w:t>
            </w:r>
            <w:r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z </w:t>
            </w:r>
            <w:r w:rsidR="00BE1F94">
              <w:rPr>
                <w:rFonts w:ascii="Times New Roman" w:hAnsi="Times New Roman"/>
                <w:spacing w:val="-2"/>
                <w:sz w:val="21"/>
                <w:szCs w:val="21"/>
              </w:rPr>
              <w:t>202</w:t>
            </w:r>
            <w:r w:rsidR="00DA3F2D">
              <w:rPr>
                <w:rFonts w:ascii="Times New Roman" w:hAnsi="Times New Roman"/>
                <w:spacing w:val="-2"/>
                <w:sz w:val="21"/>
                <w:szCs w:val="21"/>
              </w:rPr>
              <w:t>6</w:t>
            </w:r>
            <w:r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r.)</w:t>
            </w:r>
          </w:p>
        </w:tc>
        <w:tc>
          <w:tcPr>
            <w:tcW w:w="2127" w:type="dxa"/>
            <w:gridSpan w:val="5"/>
            <w:shd w:val="clear" w:color="auto" w:fill="FFFFFF"/>
          </w:tcPr>
          <w:p w14:paraId="28895137" w14:textId="77777777" w:rsidR="002E6D63" w:rsidRPr="00301959" w:rsidRDefault="009E3C4B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duże przedsiębiorstwa</w:t>
            </w:r>
          </w:p>
        </w:tc>
        <w:tc>
          <w:tcPr>
            <w:tcW w:w="844" w:type="dxa"/>
            <w:gridSpan w:val="4"/>
            <w:shd w:val="clear" w:color="auto" w:fill="FFFFFF"/>
          </w:tcPr>
          <w:p w14:paraId="36FD8079" w14:textId="77777777" w:rsidR="002E6D63" w:rsidRPr="00B37C80" w:rsidRDefault="002E6D63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797" w:type="dxa"/>
            <w:gridSpan w:val="4"/>
            <w:shd w:val="clear" w:color="auto" w:fill="FFFFFF"/>
          </w:tcPr>
          <w:p w14:paraId="36368576" w14:textId="77777777" w:rsidR="002E6D63" w:rsidRPr="00B37C80" w:rsidRDefault="002E6D63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00" w:type="dxa"/>
            <w:gridSpan w:val="4"/>
            <w:shd w:val="clear" w:color="auto" w:fill="FFFFFF"/>
          </w:tcPr>
          <w:p w14:paraId="64AAE219" w14:textId="77777777" w:rsidR="002E6D63" w:rsidRPr="00B37C80" w:rsidRDefault="002E6D63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756" w:type="dxa"/>
            <w:gridSpan w:val="3"/>
            <w:shd w:val="clear" w:color="auto" w:fill="FFFFFF"/>
          </w:tcPr>
          <w:p w14:paraId="0AB0B7F2" w14:textId="77777777" w:rsidR="002E6D63" w:rsidRPr="00B37C80" w:rsidRDefault="002E6D63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719" w:type="dxa"/>
            <w:gridSpan w:val="4"/>
            <w:shd w:val="clear" w:color="auto" w:fill="FFFFFF"/>
          </w:tcPr>
          <w:p w14:paraId="388D70BE" w14:textId="77777777" w:rsidR="002E6D63" w:rsidRPr="00B37C80" w:rsidRDefault="002E6D63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014" w:type="dxa"/>
            <w:gridSpan w:val="3"/>
            <w:shd w:val="clear" w:color="auto" w:fill="FFFFFF"/>
          </w:tcPr>
          <w:p w14:paraId="252AFAD9" w14:textId="77777777" w:rsidR="002E6D63" w:rsidRPr="00B37C80" w:rsidRDefault="002E6D63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646" w:type="dxa"/>
            <w:shd w:val="clear" w:color="auto" w:fill="FFFFFF"/>
          </w:tcPr>
          <w:p w14:paraId="7CE617CB" w14:textId="77777777" w:rsidR="002E6D63" w:rsidRPr="00B37C80" w:rsidRDefault="002E6D63" w:rsidP="00DE3780">
            <w:pP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BE31BA" w:rsidRPr="008B4FE6" w14:paraId="4CF2FCFD" w14:textId="77777777" w:rsidTr="00B753DA">
        <w:trPr>
          <w:trHeight w:val="142"/>
        </w:trPr>
        <w:tc>
          <w:tcPr>
            <w:tcW w:w="2305" w:type="dxa"/>
            <w:vMerge/>
            <w:shd w:val="clear" w:color="auto" w:fill="FFFFFF"/>
          </w:tcPr>
          <w:p w14:paraId="01826C60" w14:textId="77777777" w:rsidR="002E6D63" w:rsidRPr="00301959" w:rsidRDefault="002E6D63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127" w:type="dxa"/>
            <w:gridSpan w:val="5"/>
            <w:shd w:val="clear" w:color="auto" w:fill="FFFFFF"/>
          </w:tcPr>
          <w:p w14:paraId="03844B63" w14:textId="77777777" w:rsidR="002E6D63" w:rsidRPr="00301959" w:rsidRDefault="00705A29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sektor mikro-, małych i średnich przedsiębiorstw</w:t>
            </w:r>
          </w:p>
        </w:tc>
        <w:tc>
          <w:tcPr>
            <w:tcW w:w="844" w:type="dxa"/>
            <w:gridSpan w:val="4"/>
            <w:shd w:val="clear" w:color="auto" w:fill="FFFFFF"/>
          </w:tcPr>
          <w:p w14:paraId="054CC466" w14:textId="77777777" w:rsidR="002E6D63" w:rsidRPr="00B37C80" w:rsidRDefault="002E6D63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797" w:type="dxa"/>
            <w:gridSpan w:val="4"/>
            <w:shd w:val="clear" w:color="auto" w:fill="FFFFFF"/>
          </w:tcPr>
          <w:p w14:paraId="6D173B33" w14:textId="77777777" w:rsidR="002E6D63" w:rsidRPr="00B37C80" w:rsidRDefault="002E6D63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00" w:type="dxa"/>
            <w:gridSpan w:val="4"/>
            <w:shd w:val="clear" w:color="auto" w:fill="FFFFFF"/>
          </w:tcPr>
          <w:p w14:paraId="2F4712A9" w14:textId="77777777" w:rsidR="002E6D63" w:rsidRPr="00B37C80" w:rsidRDefault="002E6D63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756" w:type="dxa"/>
            <w:gridSpan w:val="3"/>
            <w:shd w:val="clear" w:color="auto" w:fill="FFFFFF"/>
          </w:tcPr>
          <w:p w14:paraId="54A39A76" w14:textId="77777777" w:rsidR="002E6D63" w:rsidRPr="00B37C80" w:rsidRDefault="002E6D63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719" w:type="dxa"/>
            <w:gridSpan w:val="4"/>
            <w:shd w:val="clear" w:color="auto" w:fill="FFFFFF"/>
          </w:tcPr>
          <w:p w14:paraId="23697C22" w14:textId="77777777" w:rsidR="002E6D63" w:rsidRPr="00B37C80" w:rsidRDefault="002E6D63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014" w:type="dxa"/>
            <w:gridSpan w:val="3"/>
            <w:shd w:val="clear" w:color="auto" w:fill="FFFFFF"/>
          </w:tcPr>
          <w:p w14:paraId="20CBE0F9" w14:textId="77777777" w:rsidR="002E6D63" w:rsidRPr="00B37C80" w:rsidRDefault="002E6D63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646" w:type="dxa"/>
            <w:shd w:val="clear" w:color="auto" w:fill="FFFFFF"/>
          </w:tcPr>
          <w:p w14:paraId="488261E9" w14:textId="77777777" w:rsidR="002E6D63" w:rsidRPr="00B37C80" w:rsidRDefault="002E6D63" w:rsidP="00DE3780">
            <w:pP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BE31BA" w:rsidRPr="008B4FE6" w14:paraId="34B5013C" w14:textId="77777777" w:rsidTr="00B753DA">
        <w:trPr>
          <w:trHeight w:val="142"/>
        </w:trPr>
        <w:tc>
          <w:tcPr>
            <w:tcW w:w="2305" w:type="dxa"/>
            <w:vMerge/>
            <w:shd w:val="clear" w:color="auto" w:fill="FFFFFF"/>
          </w:tcPr>
          <w:p w14:paraId="20E04B7B" w14:textId="77777777" w:rsidR="002E6D63" w:rsidRPr="00301959" w:rsidRDefault="002E6D63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127" w:type="dxa"/>
            <w:gridSpan w:val="5"/>
            <w:shd w:val="clear" w:color="auto" w:fill="FFFFFF"/>
          </w:tcPr>
          <w:p w14:paraId="57BC71CB" w14:textId="77777777" w:rsidR="002E6D63" w:rsidRPr="00301959" w:rsidRDefault="00A92BAF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rodzina, </w:t>
            </w:r>
            <w:r w:rsidR="009E3C4B" w:rsidRPr="00301959">
              <w:rPr>
                <w:rFonts w:ascii="Times New Roman" w:hAnsi="Times New Roman"/>
                <w:sz w:val="21"/>
                <w:szCs w:val="21"/>
              </w:rPr>
              <w:t>o</w:t>
            </w:r>
            <w:r w:rsidR="002E6D63" w:rsidRPr="00301959">
              <w:rPr>
                <w:rFonts w:ascii="Times New Roman" w:hAnsi="Times New Roman"/>
                <w:sz w:val="21"/>
                <w:szCs w:val="21"/>
              </w:rPr>
              <w:t>bywatele oraz gospodarstwa domowe</w:t>
            </w:r>
          </w:p>
        </w:tc>
        <w:tc>
          <w:tcPr>
            <w:tcW w:w="844" w:type="dxa"/>
            <w:gridSpan w:val="4"/>
            <w:shd w:val="clear" w:color="auto" w:fill="FFFFFF"/>
          </w:tcPr>
          <w:p w14:paraId="736656DA" w14:textId="77777777" w:rsidR="002E6D63" w:rsidRPr="00B37C80" w:rsidRDefault="002E6D63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797" w:type="dxa"/>
            <w:gridSpan w:val="4"/>
            <w:shd w:val="clear" w:color="auto" w:fill="FFFFFF"/>
          </w:tcPr>
          <w:p w14:paraId="381EEECB" w14:textId="77777777" w:rsidR="002E6D63" w:rsidRPr="00B37C80" w:rsidRDefault="002E6D63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00" w:type="dxa"/>
            <w:gridSpan w:val="4"/>
            <w:shd w:val="clear" w:color="auto" w:fill="FFFFFF"/>
          </w:tcPr>
          <w:p w14:paraId="15BBB67E" w14:textId="77777777" w:rsidR="002E6D63" w:rsidRPr="00B37C80" w:rsidRDefault="002E6D63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756" w:type="dxa"/>
            <w:gridSpan w:val="3"/>
            <w:shd w:val="clear" w:color="auto" w:fill="FFFFFF"/>
          </w:tcPr>
          <w:p w14:paraId="5D54C3F5" w14:textId="77777777" w:rsidR="002E6D63" w:rsidRPr="00B37C80" w:rsidRDefault="002E6D63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719" w:type="dxa"/>
            <w:gridSpan w:val="4"/>
            <w:shd w:val="clear" w:color="auto" w:fill="FFFFFF"/>
          </w:tcPr>
          <w:p w14:paraId="17EE7316" w14:textId="77777777" w:rsidR="002E6D63" w:rsidRPr="00B37C80" w:rsidRDefault="002E6D63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014" w:type="dxa"/>
            <w:gridSpan w:val="3"/>
            <w:shd w:val="clear" w:color="auto" w:fill="FFFFFF"/>
          </w:tcPr>
          <w:p w14:paraId="31C1C7BE" w14:textId="77777777" w:rsidR="002E6D63" w:rsidRPr="00B37C80" w:rsidRDefault="002E6D63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646" w:type="dxa"/>
            <w:shd w:val="clear" w:color="auto" w:fill="FFFFFF"/>
          </w:tcPr>
          <w:p w14:paraId="72189910" w14:textId="77777777" w:rsidR="002E6D63" w:rsidRPr="00B37C80" w:rsidRDefault="002E6D63" w:rsidP="00DE3780">
            <w:pP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8A608F" w:rsidRPr="008B4FE6" w14:paraId="68524D12" w14:textId="77777777" w:rsidTr="00B753DA">
        <w:trPr>
          <w:trHeight w:val="142"/>
        </w:trPr>
        <w:tc>
          <w:tcPr>
            <w:tcW w:w="2305" w:type="dxa"/>
            <w:vMerge w:val="restart"/>
            <w:shd w:val="clear" w:color="auto" w:fill="FFFFFF"/>
          </w:tcPr>
          <w:p w14:paraId="1EFD2F8B" w14:textId="77777777" w:rsidR="008A608F" w:rsidRPr="00301959" w:rsidRDefault="008A608F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W </w:t>
            </w:r>
            <w:r w:rsidR="0097181B">
              <w:rPr>
                <w:rFonts w:ascii="Times New Roman" w:hAnsi="Times New Roman"/>
                <w:color w:val="000000"/>
                <w:sz w:val="21"/>
                <w:szCs w:val="21"/>
              </w:rPr>
              <w:t>ujęciu</w:t>
            </w:r>
            <w:r w:rsidR="0097181B"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niepieniężnym</w:t>
            </w:r>
          </w:p>
        </w:tc>
        <w:tc>
          <w:tcPr>
            <w:tcW w:w="2127" w:type="dxa"/>
            <w:gridSpan w:val="5"/>
            <w:shd w:val="clear" w:color="auto" w:fill="FFFFFF"/>
          </w:tcPr>
          <w:p w14:paraId="7215ABAE" w14:textId="77777777" w:rsidR="008A608F" w:rsidRPr="00301959" w:rsidRDefault="009E3C4B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duże p</w:t>
            </w:r>
            <w:r w:rsidR="008A608F"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rzedsiębiorstwa</w:t>
            </w:r>
          </w:p>
        </w:tc>
        <w:tc>
          <w:tcPr>
            <w:tcW w:w="6576" w:type="dxa"/>
            <w:gridSpan w:val="23"/>
            <w:shd w:val="clear" w:color="auto" w:fill="FFFFFF"/>
          </w:tcPr>
          <w:p w14:paraId="4468174A" w14:textId="77777777" w:rsidR="008A608F" w:rsidRPr="00B37C80" w:rsidRDefault="00036083" w:rsidP="00DE3780">
            <w:pP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Brak wpływu.</w:t>
            </w:r>
          </w:p>
        </w:tc>
      </w:tr>
      <w:tr w:rsidR="008A608F" w:rsidRPr="008B4FE6" w14:paraId="0AEAB461" w14:textId="77777777" w:rsidTr="00B753DA">
        <w:trPr>
          <w:trHeight w:val="142"/>
        </w:trPr>
        <w:tc>
          <w:tcPr>
            <w:tcW w:w="2305" w:type="dxa"/>
            <w:vMerge/>
            <w:shd w:val="clear" w:color="auto" w:fill="FFFFFF"/>
          </w:tcPr>
          <w:p w14:paraId="3863878D" w14:textId="77777777" w:rsidR="008A608F" w:rsidRPr="00301959" w:rsidRDefault="008A608F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127" w:type="dxa"/>
            <w:gridSpan w:val="5"/>
            <w:shd w:val="clear" w:color="auto" w:fill="FFFFFF"/>
          </w:tcPr>
          <w:p w14:paraId="5D540829" w14:textId="77777777" w:rsidR="008A608F" w:rsidRPr="00301959" w:rsidRDefault="009E3C4B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s</w:t>
            </w:r>
            <w:r w:rsidR="008A608F"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ektor mikro-, małych i średnich przedsiębiorstw</w:t>
            </w:r>
          </w:p>
        </w:tc>
        <w:tc>
          <w:tcPr>
            <w:tcW w:w="6576" w:type="dxa"/>
            <w:gridSpan w:val="23"/>
            <w:shd w:val="clear" w:color="auto" w:fill="FFFFFF"/>
          </w:tcPr>
          <w:p w14:paraId="7BC9E1DC" w14:textId="4FF63043" w:rsidR="008A608F" w:rsidRPr="00B37C80" w:rsidRDefault="00036083" w:rsidP="00DE3780">
            <w:pPr>
              <w:jc w:val="both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 w:rsidRPr="00036083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Przedmiotowy projekt nie określa zasad podejmowania, wykonywania lub zakończenia działalności gospodarczej, w związku z czym odstąpiono od analiz i oceny przewidywanych skutków społeczno-gospodarczych, wskazanych w art. 66 ust. 1 ustawy z dnia 6 marca 2018 r. – Prawo przedsiębiorców (</w:t>
            </w:r>
            <w:r w:rsidR="00F37DC0" w:rsidRPr="00F37DC0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Dz. U. z 2025 r. poz. 1480</w:t>
            </w:r>
            <w:r w:rsidR="001F7E21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, z późn. zm.</w:t>
            </w:r>
            <w:r w:rsidR="00F37DC0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).</w:t>
            </w:r>
          </w:p>
        </w:tc>
      </w:tr>
      <w:tr w:rsidR="00051339" w:rsidRPr="008B4FE6" w14:paraId="6DD5F455" w14:textId="77777777" w:rsidTr="00B753DA">
        <w:trPr>
          <w:trHeight w:val="596"/>
        </w:trPr>
        <w:tc>
          <w:tcPr>
            <w:tcW w:w="2305" w:type="dxa"/>
            <w:vMerge/>
            <w:shd w:val="clear" w:color="auto" w:fill="FFFFFF"/>
          </w:tcPr>
          <w:p w14:paraId="69169FAA" w14:textId="77777777" w:rsidR="00051339" w:rsidRPr="00301959" w:rsidRDefault="00051339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127" w:type="dxa"/>
            <w:gridSpan w:val="5"/>
            <w:shd w:val="clear" w:color="auto" w:fill="FFFFFF"/>
          </w:tcPr>
          <w:p w14:paraId="23F81FF7" w14:textId="77777777" w:rsidR="00051339" w:rsidRPr="00301959" w:rsidRDefault="00051339" w:rsidP="00DE3780">
            <w:pPr>
              <w:tabs>
                <w:tab w:val="right" w:pos="1936"/>
              </w:tabs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rodzina, </w:t>
            </w:r>
            <w:r w:rsidRPr="00301959">
              <w:rPr>
                <w:rFonts w:ascii="Times New Roman" w:hAnsi="Times New Roman"/>
                <w:sz w:val="21"/>
                <w:szCs w:val="21"/>
              </w:rPr>
              <w:t>obywatele oraz gospodarstwa domowe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, </w:t>
            </w:r>
            <w:r w:rsidRPr="008113DB">
              <w:rPr>
                <w:rFonts w:ascii="Times New Roman" w:hAnsi="Times New Roman"/>
                <w:sz w:val="21"/>
                <w:szCs w:val="21"/>
              </w:rPr>
              <w:t>w tym osoby z niepełnosprawnością i starsze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6576" w:type="dxa"/>
            <w:gridSpan w:val="23"/>
            <w:shd w:val="clear" w:color="auto" w:fill="FFFFFF"/>
          </w:tcPr>
          <w:p w14:paraId="00EF0D18" w14:textId="77777777" w:rsidR="002255A6" w:rsidRPr="00051339" w:rsidRDefault="00051339" w:rsidP="006522DE">
            <w:pPr>
              <w:jc w:val="both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Projekt wpłynie na obywateli przez </w:t>
            </w:r>
            <w:r w:rsidR="006522DE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u</w:t>
            </w:r>
            <w:r w:rsidR="006522DE" w:rsidRPr="006522DE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stanowienie procedury wnoszenia pisma za pośrednictwem portalu informacyjnego</w:t>
            </w:r>
            <w:r w:rsidR="006522DE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, o</w:t>
            </w:r>
            <w:r w:rsidR="006522DE" w:rsidRPr="006522DE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kreślenie formatu, maksymalnego rozmiaru, wymagań dotyczących nazewnictwa i wymagań technicznych dla pism i załączników wnoszonych za pośrednictwem portalu informacyjnego</w:t>
            </w:r>
            <w:r w:rsidR="006522DE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, w</w:t>
            </w:r>
            <w:r w:rsidR="006522DE" w:rsidRPr="006522DE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prowadzenie zasady automatycznego generowania oraz udostępniania elektronicznego potwierdzenia wniesienia pisma procesowego</w:t>
            </w:r>
            <w:r w:rsidR="006522DE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. </w:t>
            </w:r>
            <w:r w:rsidR="00B753DA" w:rsidRPr="00B753DA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Informacja zwrotna o skutecznym przekazaniu pisma do portalu informacyjnego wzmocni pewność obrotu prawnego, podniesie transparentność procedowania oraz wyeliminuje ryzyko wadliwego ustalenia daty wniesienia pisma.</w:t>
            </w:r>
          </w:p>
        </w:tc>
      </w:tr>
      <w:tr w:rsidR="005E7371" w:rsidRPr="008B4FE6" w14:paraId="48AA7D8D" w14:textId="77777777" w:rsidTr="00B753DA">
        <w:trPr>
          <w:trHeight w:val="142"/>
        </w:trPr>
        <w:tc>
          <w:tcPr>
            <w:tcW w:w="2305" w:type="dxa"/>
            <w:shd w:val="clear" w:color="auto" w:fill="FFFFFF"/>
          </w:tcPr>
          <w:p w14:paraId="440B5DEF" w14:textId="77777777" w:rsidR="005E7371" w:rsidRPr="00301959" w:rsidRDefault="005E7371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Niemierzalne</w:t>
            </w:r>
          </w:p>
        </w:tc>
        <w:tc>
          <w:tcPr>
            <w:tcW w:w="2127" w:type="dxa"/>
            <w:gridSpan w:val="5"/>
            <w:shd w:val="clear" w:color="auto" w:fill="FFFFFF"/>
          </w:tcPr>
          <w:p w14:paraId="031F855A" w14:textId="77777777" w:rsidR="005E7371" w:rsidRPr="00301959" w:rsidRDefault="005E7371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6576" w:type="dxa"/>
            <w:gridSpan w:val="23"/>
            <w:shd w:val="clear" w:color="auto" w:fill="FFFFFF"/>
          </w:tcPr>
          <w:p w14:paraId="6B4B73E8" w14:textId="77777777" w:rsidR="005E7371" w:rsidRPr="00B37C80" w:rsidRDefault="005E7371" w:rsidP="00DE3780">
            <w:pP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E24BD7" w:rsidRPr="008B4FE6" w14:paraId="1EAD8BBE" w14:textId="77777777" w:rsidTr="00B753DA">
        <w:trPr>
          <w:trHeight w:val="646"/>
        </w:trPr>
        <w:tc>
          <w:tcPr>
            <w:tcW w:w="4432" w:type="dxa"/>
            <w:gridSpan w:val="6"/>
            <w:shd w:val="clear" w:color="auto" w:fill="FFFFFF"/>
          </w:tcPr>
          <w:p w14:paraId="4F9F54C7" w14:textId="77777777" w:rsidR="00E24BD7" w:rsidRPr="00301959" w:rsidRDefault="00E24BD7" w:rsidP="00DE378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Dodatkowe informacje, w tym wskazanie źródeł danych i przyjętych do obliczeń założeń </w:t>
            </w:r>
          </w:p>
        </w:tc>
        <w:tc>
          <w:tcPr>
            <w:tcW w:w="6576" w:type="dxa"/>
            <w:gridSpan w:val="23"/>
            <w:shd w:val="clear" w:color="auto" w:fill="FFFFFF"/>
            <w:vAlign w:val="center"/>
          </w:tcPr>
          <w:p w14:paraId="2E8425DE" w14:textId="77777777" w:rsidR="005D28EC" w:rsidRPr="00301959" w:rsidRDefault="005D28EC" w:rsidP="005D28EC">
            <w:pPr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</w:p>
        </w:tc>
      </w:tr>
      <w:tr w:rsidR="006A701A" w:rsidRPr="008B4FE6" w14:paraId="048BD07D" w14:textId="77777777" w:rsidTr="00B753DA">
        <w:trPr>
          <w:trHeight w:val="342"/>
        </w:trPr>
        <w:tc>
          <w:tcPr>
            <w:tcW w:w="11008" w:type="dxa"/>
            <w:gridSpan w:val="29"/>
            <w:shd w:val="clear" w:color="auto" w:fill="99CCFF"/>
            <w:vAlign w:val="center"/>
          </w:tcPr>
          <w:p w14:paraId="02D6C68D" w14:textId="77777777" w:rsidR="006A701A" w:rsidRPr="008B4FE6" w:rsidRDefault="006A701A">
            <w:pPr>
              <w:numPr>
                <w:ilvl w:val="0"/>
                <w:numId w:val="1"/>
              </w:numPr>
              <w:spacing w:before="60" w:after="60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FA117A">
              <w:rPr>
                <w:rFonts w:ascii="Times New Roman" w:hAnsi="Times New Roman"/>
                <w:b/>
                <w:color w:val="000000"/>
              </w:rPr>
              <w:t>Zmiana o</w:t>
            </w:r>
            <w:r w:rsidRPr="008B4FE6">
              <w:rPr>
                <w:rFonts w:ascii="Times New Roman" w:hAnsi="Times New Roman"/>
                <w:b/>
                <w:color w:val="000000"/>
              </w:rPr>
              <w:t>bciąże</w:t>
            </w:r>
            <w:r w:rsidR="00FA117A">
              <w:rPr>
                <w:rFonts w:ascii="Times New Roman" w:hAnsi="Times New Roman"/>
                <w:b/>
                <w:color w:val="000000"/>
              </w:rPr>
              <w:t>ń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regulacyjn</w:t>
            </w:r>
            <w:r w:rsidR="00FA117A">
              <w:rPr>
                <w:rFonts w:ascii="Times New Roman" w:hAnsi="Times New Roman"/>
                <w:b/>
                <w:color w:val="000000"/>
              </w:rPr>
              <w:t>ych</w:t>
            </w:r>
            <w:r w:rsidR="00653688">
              <w:rPr>
                <w:rFonts w:ascii="Times New Roman" w:hAnsi="Times New Roman"/>
                <w:b/>
                <w:color w:val="000000"/>
              </w:rPr>
              <w:t xml:space="preserve"> (w tym obowiązk</w:t>
            </w:r>
            <w:r w:rsidR="00FA117A">
              <w:rPr>
                <w:rFonts w:ascii="Times New Roman" w:hAnsi="Times New Roman"/>
                <w:b/>
                <w:color w:val="000000"/>
              </w:rPr>
              <w:t xml:space="preserve">ów </w:t>
            </w:r>
            <w:r w:rsidR="00653688">
              <w:rPr>
                <w:rFonts w:ascii="Times New Roman" w:hAnsi="Times New Roman"/>
                <w:b/>
                <w:color w:val="000000"/>
              </w:rPr>
              <w:t>informacyjn</w:t>
            </w:r>
            <w:r w:rsidR="00FA117A">
              <w:rPr>
                <w:rFonts w:ascii="Times New Roman" w:hAnsi="Times New Roman"/>
                <w:b/>
                <w:color w:val="000000"/>
              </w:rPr>
              <w:t>ych</w:t>
            </w:r>
            <w:r w:rsidR="00653688">
              <w:rPr>
                <w:rFonts w:ascii="Times New Roman" w:hAnsi="Times New Roman"/>
                <w:b/>
                <w:color w:val="000000"/>
              </w:rPr>
              <w:t>)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wynikając</w:t>
            </w:r>
            <w:r w:rsidR="00FA117A">
              <w:rPr>
                <w:rFonts w:ascii="Times New Roman" w:hAnsi="Times New Roman"/>
                <w:b/>
                <w:color w:val="000000"/>
              </w:rPr>
              <w:t>ych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z projektu</w:t>
            </w:r>
          </w:p>
        </w:tc>
      </w:tr>
      <w:tr w:rsidR="00D86AFF" w:rsidRPr="008B4FE6" w14:paraId="1B77C54C" w14:textId="77777777" w:rsidTr="00B753DA">
        <w:trPr>
          <w:trHeight w:val="151"/>
        </w:trPr>
        <w:tc>
          <w:tcPr>
            <w:tcW w:w="11008" w:type="dxa"/>
            <w:gridSpan w:val="29"/>
            <w:shd w:val="clear" w:color="auto" w:fill="FFFFFF"/>
          </w:tcPr>
          <w:p w14:paraId="02CA06E9" w14:textId="77777777" w:rsidR="00D86AFF" w:rsidRPr="008B4FE6" w:rsidRDefault="00D86AFF" w:rsidP="00DE3780">
            <w:pPr>
              <w:rPr>
                <w:rFonts w:ascii="Times New Roman" w:hAnsi="Times New Roman"/>
                <w:color w:val="000000"/>
              </w:rPr>
            </w:pPr>
            <w:r w:rsidRPr="001A5FDA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5FDA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1A5FDA">
              <w:rPr>
                <w:rFonts w:ascii="Times New Roman" w:hAnsi="Times New Roman"/>
                <w:color w:val="000000"/>
              </w:rPr>
            </w:r>
            <w:r w:rsidRPr="001A5FDA">
              <w:rPr>
                <w:rFonts w:ascii="Times New Roman" w:hAnsi="Times New Roman"/>
                <w:color w:val="000000"/>
              </w:rPr>
              <w:fldChar w:fldCharType="separate"/>
            </w:r>
            <w:r w:rsidRPr="001A5FDA">
              <w:rPr>
                <w:rFonts w:ascii="Times New Roman" w:hAnsi="Times New Roman"/>
                <w:color w:val="000000"/>
              </w:rPr>
              <w:fldChar w:fldCharType="end"/>
            </w:r>
            <w:r w:rsidRPr="001A5FDA">
              <w:rPr>
                <w:rFonts w:ascii="Times New Roman" w:hAnsi="Times New Roman"/>
                <w:color w:val="000000"/>
              </w:rPr>
              <w:t xml:space="preserve"> </w:t>
            </w:r>
            <w:r w:rsidRPr="001A5FDA">
              <w:rPr>
                <w:rFonts w:ascii="Times New Roman" w:hAnsi="Times New Roman"/>
                <w:color w:val="000000"/>
                <w:spacing w:val="-2"/>
              </w:rPr>
              <w:t>nie dotyczy</w:t>
            </w:r>
          </w:p>
        </w:tc>
      </w:tr>
      <w:tr w:rsidR="00D86AFF" w:rsidRPr="008B4FE6" w14:paraId="40C6B900" w14:textId="77777777" w:rsidTr="00B753DA">
        <w:trPr>
          <w:trHeight w:val="946"/>
        </w:trPr>
        <w:tc>
          <w:tcPr>
            <w:tcW w:w="5528" w:type="dxa"/>
            <w:gridSpan w:val="12"/>
            <w:shd w:val="clear" w:color="auto" w:fill="FFFFFF"/>
          </w:tcPr>
          <w:p w14:paraId="5CD8A2B8" w14:textId="77777777" w:rsidR="00D86AFF" w:rsidRDefault="00D86AFF" w:rsidP="00DE3780">
            <w:pPr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prowadzane są </w:t>
            </w:r>
            <w:r>
              <w:rPr>
                <w:rFonts w:ascii="Times New Roman" w:hAnsi="Times New Roman"/>
                <w:color w:val="000000"/>
                <w:spacing w:val="-2"/>
              </w:rPr>
              <w:t>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poza bezwzględnie wymaganymi przez UE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(szczegóły w odwróconej tabeli zgodności</w:t>
            </w:r>
            <w:r>
              <w:rPr>
                <w:rFonts w:ascii="Times New Roman" w:hAnsi="Times New Roman"/>
                <w:color w:val="000000"/>
              </w:rPr>
              <w:t>).</w:t>
            </w:r>
          </w:p>
        </w:tc>
        <w:tc>
          <w:tcPr>
            <w:tcW w:w="5480" w:type="dxa"/>
            <w:gridSpan w:val="17"/>
            <w:shd w:val="clear" w:color="auto" w:fill="FFFFFF"/>
          </w:tcPr>
          <w:p w14:paraId="7DE759F0" w14:textId="77777777" w:rsidR="00D86AFF" w:rsidRDefault="00D86AFF" w:rsidP="00DE3780">
            <w:pPr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2F723803" w14:textId="77777777" w:rsidR="00D86AFF" w:rsidRDefault="00D86AFF" w:rsidP="00DE3780">
            <w:pPr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4BDB8D40" w14:textId="77777777" w:rsidR="00D86AFF" w:rsidRDefault="00EE72F9" w:rsidP="00DE3780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D86AFF"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1B3460" w:rsidRPr="008B4FE6" w14:paraId="59E2A94F" w14:textId="77777777" w:rsidTr="00B753DA">
        <w:trPr>
          <w:trHeight w:val="1245"/>
        </w:trPr>
        <w:tc>
          <w:tcPr>
            <w:tcW w:w="5528" w:type="dxa"/>
            <w:gridSpan w:val="12"/>
            <w:shd w:val="clear" w:color="auto" w:fill="FFFFFF"/>
          </w:tcPr>
          <w:p w14:paraId="22B40C4B" w14:textId="77777777" w:rsidR="001B3460" w:rsidRPr="008B4FE6" w:rsidRDefault="001B3460" w:rsidP="00DE3780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zmniejszenie liczby dokumentów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7048642C" w14:textId="77777777" w:rsidR="001B3460" w:rsidRPr="008B4FE6" w:rsidRDefault="001B3460" w:rsidP="00DE3780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zmniejszenie liczby procedur</w:t>
            </w:r>
          </w:p>
          <w:p w14:paraId="2437DE67" w14:textId="77777777" w:rsidR="001B3460" w:rsidRDefault="00EA15CD" w:rsidP="00DE3780">
            <w:pPr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skrócenie czasu</w:t>
            </w:r>
            <w:r w:rsidR="00CF5F4F"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0E5BD6FC" w14:textId="77777777" w:rsidR="001B3460" w:rsidRPr="008B4FE6" w:rsidRDefault="001B3460" w:rsidP="00DE3780">
            <w:pPr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5480" w:type="dxa"/>
            <w:gridSpan w:val="17"/>
            <w:shd w:val="clear" w:color="auto" w:fill="FFFFFF"/>
          </w:tcPr>
          <w:p w14:paraId="7453328C" w14:textId="77777777" w:rsidR="001B3460" w:rsidRPr="008B4FE6" w:rsidRDefault="001B3460" w:rsidP="00DE3780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zwiększenie liczby dokumentów</w:t>
            </w:r>
          </w:p>
          <w:p w14:paraId="36C71D1F" w14:textId="77777777" w:rsidR="001B3460" w:rsidRPr="008B4FE6" w:rsidRDefault="00712305" w:rsidP="00DE3780">
            <w:pPr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zwiększenie liczby procedur</w:t>
            </w:r>
          </w:p>
          <w:p w14:paraId="0FB4F645" w14:textId="77777777" w:rsidR="001B3460" w:rsidRPr="008B4FE6" w:rsidRDefault="001B3460" w:rsidP="00DE3780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wydłużenie czasu</w:t>
            </w:r>
            <w:r w:rsidR="00CF5F4F"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2C587DE6" w14:textId="77777777" w:rsidR="001B3460" w:rsidRPr="008B4FE6" w:rsidRDefault="001B3460" w:rsidP="00DE3780">
            <w:pPr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  <w:tr w:rsidR="00BF0DA2" w:rsidRPr="008B4FE6" w14:paraId="6FB719D6" w14:textId="77777777" w:rsidTr="00B753DA">
        <w:trPr>
          <w:trHeight w:val="870"/>
        </w:trPr>
        <w:tc>
          <w:tcPr>
            <w:tcW w:w="5528" w:type="dxa"/>
            <w:gridSpan w:val="12"/>
            <w:shd w:val="clear" w:color="auto" w:fill="FFFFFF"/>
          </w:tcPr>
          <w:p w14:paraId="678623D9" w14:textId="77777777" w:rsidR="00BF0DA2" w:rsidRPr="008B4FE6" w:rsidRDefault="00BF0DA2" w:rsidP="00DE3780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>prowadzane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są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przystosowane do ich elektronizacji. </w:t>
            </w:r>
          </w:p>
        </w:tc>
        <w:tc>
          <w:tcPr>
            <w:tcW w:w="5480" w:type="dxa"/>
            <w:gridSpan w:val="17"/>
            <w:shd w:val="clear" w:color="auto" w:fill="FFFFFF"/>
          </w:tcPr>
          <w:p w14:paraId="201A281B" w14:textId="77777777" w:rsidR="00BF0DA2" w:rsidRDefault="00BF0DA2" w:rsidP="00DE3780">
            <w:pPr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26815958" w14:textId="77777777" w:rsidR="00BF0DA2" w:rsidRDefault="00BF0DA2" w:rsidP="00DE3780">
            <w:pPr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4B4D4E06" w14:textId="77777777" w:rsidR="00117017" w:rsidRPr="008B4FE6" w:rsidRDefault="00712305" w:rsidP="00DE3780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BF0DA2"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117017" w:rsidRPr="008B4FE6" w14:paraId="6A18A810" w14:textId="77777777" w:rsidTr="00B753DA">
        <w:trPr>
          <w:trHeight w:val="630"/>
        </w:trPr>
        <w:tc>
          <w:tcPr>
            <w:tcW w:w="11008" w:type="dxa"/>
            <w:gridSpan w:val="29"/>
            <w:shd w:val="clear" w:color="auto" w:fill="FFFFFF"/>
          </w:tcPr>
          <w:p w14:paraId="5E6728E4" w14:textId="77777777" w:rsidR="00EE72F9" w:rsidRDefault="00117017" w:rsidP="00DE3780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Komentarz:</w:t>
            </w:r>
          </w:p>
          <w:p w14:paraId="3698A04D" w14:textId="77777777" w:rsidR="009F743D" w:rsidRDefault="002255A6" w:rsidP="006522D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Projekt przewiduje now</w:t>
            </w:r>
            <w:r w:rsidR="006522DE">
              <w:rPr>
                <w:rFonts w:ascii="Times New Roman" w:hAnsi="Times New Roman"/>
                <w:color w:val="000000"/>
              </w:rPr>
              <w:t>e</w:t>
            </w:r>
            <w:r>
              <w:rPr>
                <w:rFonts w:ascii="Times New Roman" w:hAnsi="Times New Roman"/>
                <w:color w:val="000000"/>
              </w:rPr>
              <w:t xml:space="preserve"> procedur</w:t>
            </w:r>
            <w:r w:rsidR="006522DE">
              <w:rPr>
                <w:rFonts w:ascii="Times New Roman" w:hAnsi="Times New Roman"/>
                <w:color w:val="000000"/>
              </w:rPr>
              <w:t xml:space="preserve">y </w:t>
            </w:r>
            <w:r w:rsidR="006522DE" w:rsidRPr="006522DE">
              <w:rPr>
                <w:rFonts w:ascii="Times New Roman" w:hAnsi="Times New Roman"/>
                <w:color w:val="000000"/>
              </w:rPr>
              <w:t>wnoszenia pisma za pośrednictwem portalu informacyjnego</w:t>
            </w:r>
            <w:r w:rsidR="006522DE">
              <w:rPr>
                <w:rFonts w:ascii="Times New Roman" w:hAnsi="Times New Roman"/>
                <w:color w:val="000000"/>
              </w:rPr>
              <w:t xml:space="preserve"> oraz </w:t>
            </w:r>
            <w:r w:rsidR="006522DE" w:rsidRPr="006522DE">
              <w:rPr>
                <w:rFonts w:ascii="Times New Roman" w:hAnsi="Times New Roman"/>
                <w:color w:val="000000"/>
              </w:rPr>
              <w:t>automatycznego generowania oraz udostępniania elektronicznego potwierdzenia wniesienia pisma procesowego</w:t>
            </w:r>
            <w:r w:rsidR="006522DE">
              <w:rPr>
                <w:rFonts w:ascii="Times New Roman" w:hAnsi="Times New Roman"/>
                <w:color w:val="000000"/>
              </w:rPr>
              <w:t>.</w:t>
            </w:r>
          </w:p>
          <w:p w14:paraId="184A6BEA" w14:textId="77777777" w:rsidR="00EA15CD" w:rsidRDefault="00EA15CD" w:rsidP="006522DE">
            <w:pPr>
              <w:jc w:val="both"/>
              <w:rPr>
                <w:rFonts w:ascii="Times New Roman" w:hAnsi="Times New Roman"/>
                <w:color w:val="000000"/>
              </w:rPr>
            </w:pPr>
          </w:p>
          <w:p w14:paraId="7A1A9D7C" w14:textId="77777777" w:rsidR="00EA15CD" w:rsidRPr="006522DE" w:rsidRDefault="00B906C2" w:rsidP="006522DE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Rozwiązania zaproponowane w projekcie wpłyną na</w:t>
            </w:r>
            <w:r w:rsidR="00EA15CD" w:rsidRPr="00EA15CD">
              <w:rPr>
                <w:rFonts w:ascii="Times New Roman" w:hAnsi="Times New Roman"/>
                <w:color w:val="000000"/>
              </w:rPr>
              <w:t xml:space="preserve"> skróc</w:t>
            </w:r>
            <w:r>
              <w:rPr>
                <w:rFonts w:ascii="Times New Roman" w:hAnsi="Times New Roman"/>
                <w:color w:val="000000"/>
              </w:rPr>
              <w:t>enie</w:t>
            </w:r>
            <w:r w:rsidR="00EA15CD" w:rsidRPr="00EA15CD">
              <w:rPr>
                <w:rFonts w:ascii="Times New Roman" w:hAnsi="Times New Roman"/>
                <w:color w:val="000000"/>
              </w:rPr>
              <w:t xml:space="preserve"> czas</w:t>
            </w:r>
            <w:r>
              <w:rPr>
                <w:rFonts w:ascii="Times New Roman" w:hAnsi="Times New Roman"/>
                <w:color w:val="000000"/>
              </w:rPr>
              <w:t>u</w:t>
            </w:r>
            <w:r w:rsidR="00EA15CD" w:rsidRPr="00EA15CD">
              <w:rPr>
                <w:rFonts w:ascii="Times New Roman" w:hAnsi="Times New Roman"/>
                <w:color w:val="000000"/>
              </w:rPr>
              <w:t xml:space="preserve"> na załatwienie sprawy poprzez możliwość wnoszenia pisma za pośrednictwem portalu informacyjnego</w:t>
            </w:r>
            <w:r w:rsidR="00EA15CD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1B3460" w:rsidRPr="008B4FE6" w14:paraId="0FCBFC8C" w14:textId="77777777" w:rsidTr="00B753DA">
        <w:trPr>
          <w:trHeight w:val="142"/>
        </w:trPr>
        <w:tc>
          <w:tcPr>
            <w:tcW w:w="11008" w:type="dxa"/>
            <w:gridSpan w:val="29"/>
            <w:shd w:val="clear" w:color="auto" w:fill="99CCFF"/>
          </w:tcPr>
          <w:p w14:paraId="4EF45E21" w14:textId="77777777" w:rsidR="001B3460" w:rsidRPr="008B4FE6" w:rsidRDefault="001B3460">
            <w:pPr>
              <w:numPr>
                <w:ilvl w:val="0"/>
                <w:numId w:val="1"/>
              </w:numPr>
              <w:spacing w:before="60" w:after="60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Wpływ na rynek pracy </w:t>
            </w:r>
          </w:p>
        </w:tc>
      </w:tr>
      <w:tr w:rsidR="001B3460" w:rsidRPr="008B4FE6" w14:paraId="790016B0" w14:textId="77777777" w:rsidTr="00B753DA">
        <w:trPr>
          <w:trHeight w:val="142"/>
        </w:trPr>
        <w:tc>
          <w:tcPr>
            <w:tcW w:w="11008" w:type="dxa"/>
            <w:gridSpan w:val="29"/>
          </w:tcPr>
          <w:p w14:paraId="1FA43132" w14:textId="77777777" w:rsidR="001B3460" w:rsidRPr="008B4FE6" w:rsidRDefault="00051339" w:rsidP="00DE3780">
            <w:pPr>
              <w:jc w:val="both"/>
              <w:rPr>
                <w:rFonts w:ascii="Times New Roman" w:hAnsi="Times New Roman"/>
                <w:color w:val="000000"/>
              </w:rPr>
            </w:pPr>
            <w:r w:rsidRPr="00051339">
              <w:rPr>
                <w:rFonts w:ascii="Times New Roman" w:hAnsi="Times New Roman"/>
                <w:color w:val="000000"/>
              </w:rPr>
              <w:t>Projektowana regulacja nie ma bezpośredniego wpływu na rynek pracy.</w:t>
            </w:r>
          </w:p>
        </w:tc>
      </w:tr>
      <w:tr w:rsidR="001B3460" w:rsidRPr="008B4FE6" w14:paraId="4C79569E" w14:textId="77777777" w:rsidTr="00B753DA">
        <w:trPr>
          <w:trHeight w:val="142"/>
        </w:trPr>
        <w:tc>
          <w:tcPr>
            <w:tcW w:w="11008" w:type="dxa"/>
            <w:gridSpan w:val="29"/>
            <w:shd w:val="clear" w:color="auto" w:fill="99CCFF"/>
          </w:tcPr>
          <w:p w14:paraId="137361BD" w14:textId="77777777" w:rsidR="001B3460" w:rsidRPr="008B4FE6" w:rsidRDefault="001B3460">
            <w:pPr>
              <w:numPr>
                <w:ilvl w:val="0"/>
                <w:numId w:val="1"/>
              </w:numPr>
              <w:spacing w:before="60" w:after="60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Wpływ na pozostałe obszary</w:t>
            </w:r>
          </w:p>
        </w:tc>
      </w:tr>
      <w:tr w:rsidR="001B3460" w:rsidRPr="008B4FE6" w14:paraId="782D9072" w14:textId="77777777" w:rsidTr="00B753DA">
        <w:trPr>
          <w:trHeight w:val="746"/>
        </w:trPr>
        <w:tc>
          <w:tcPr>
            <w:tcW w:w="5267" w:type="dxa"/>
            <w:gridSpan w:val="9"/>
            <w:shd w:val="clear" w:color="auto" w:fill="FFFFFF"/>
          </w:tcPr>
          <w:p w14:paraId="65FCC5C3" w14:textId="77777777" w:rsidR="001B3460" w:rsidRPr="008B4FE6" w:rsidRDefault="001B3460" w:rsidP="00DE3780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środowisko naturalne</w:t>
            </w:r>
          </w:p>
          <w:p w14:paraId="2D3BA5EE" w14:textId="77777777" w:rsidR="001B3460" w:rsidRDefault="001B3460" w:rsidP="00DE3780">
            <w:pPr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sytuacja i rozwój regionalny</w:t>
            </w:r>
          </w:p>
          <w:p w14:paraId="64595800" w14:textId="77777777" w:rsidR="00BF6667" w:rsidRPr="00BF6667" w:rsidRDefault="00051339" w:rsidP="00DE3780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BF6667" w:rsidRPr="00D93C2B">
              <w:rPr>
                <w:rFonts w:ascii="Times New Roman" w:hAnsi="Times New Roman"/>
                <w:spacing w:val="-2"/>
              </w:rPr>
              <w:t>sądy powszechne, administracyjne lub wojskowe</w:t>
            </w:r>
          </w:p>
        </w:tc>
        <w:tc>
          <w:tcPr>
            <w:tcW w:w="2493" w:type="dxa"/>
            <w:gridSpan w:val="14"/>
            <w:shd w:val="clear" w:color="auto" w:fill="FFFFFF"/>
          </w:tcPr>
          <w:p w14:paraId="5291EF36" w14:textId="77777777" w:rsidR="001B3460" w:rsidRPr="008B4FE6" w:rsidRDefault="001B3460" w:rsidP="00DE3780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demografia</w:t>
            </w:r>
          </w:p>
          <w:p w14:paraId="4392C415" w14:textId="77777777" w:rsidR="001B3460" w:rsidRDefault="001B3460" w:rsidP="00DE3780">
            <w:pPr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mienie państwowe</w:t>
            </w:r>
          </w:p>
          <w:p w14:paraId="70792ED2" w14:textId="77777777" w:rsidR="00BF6667" w:rsidRPr="008B4FE6" w:rsidRDefault="006522DE" w:rsidP="00DE3780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BF6667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BF6667" w:rsidRPr="008B4FE6">
              <w:rPr>
                <w:rFonts w:ascii="Times New Roman" w:hAnsi="Times New Roman"/>
                <w:color w:val="000000"/>
                <w:spacing w:val="-2"/>
              </w:rPr>
              <w:t xml:space="preserve">inne: </w:t>
            </w:r>
          </w:p>
        </w:tc>
        <w:tc>
          <w:tcPr>
            <w:tcW w:w="3248" w:type="dxa"/>
            <w:gridSpan w:val="6"/>
            <w:shd w:val="clear" w:color="auto" w:fill="FFFFFF"/>
          </w:tcPr>
          <w:p w14:paraId="74061C48" w14:textId="77777777" w:rsidR="001B3460" w:rsidRDefault="006522DE" w:rsidP="00DE3780">
            <w:pPr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informatyzacja</w:t>
            </w:r>
          </w:p>
          <w:p w14:paraId="2977E8E0" w14:textId="77777777" w:rsidR="001B3460" w:rsidRPr="008B4FE6" w:rsidRDefault="001B3460" w:rsidP="00DE3780">
            <w:pPr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>zdrowie</w:t>
            </w:r>
          </w:p>
        </w:tc>
      </w:tr>
      <w:tr w:rsidR="001B3460" w:rsidRPr="008B4FE6" w14:paraId="331E1555" w14:textId="77777777" w:rsidTr="00B753DA">
        <w:trPr>
          <w:trHeight w:val="712"/>
        </w:trPr>
        <w:tc>
          <w:tcPr>
            <w:tcW w:w="2867" w:type="dxa"/>
            <w:gridSpan w:val="3"/>
            <w:shd w:val="clear" w:color="auto" w:fill="FFFFFF"/>
            <w:vAlign w:val="center"/>
          </w:tcPr>
          <w:p w14:paraId="070B52AA" w14:textId="77777777" w:rsidR="001B3460" w:rsidRPr="008B4FE6" w:rsidRDefault="001B3460" w:rsidP="00DE3780">
            <w:pPr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lastRenderedPageBreak/>
              <w:t>Omówienie wpływu</w:t>
            </w:r>
          </w:p>
        </w:tc>
        <w:tc>
          <w:tcPr>
            <w:tcW w:w="8141" w:type="dxa"/>
            <w:gridSpan w:val="26"/>
            <w:shd w:val="clear" w:color="auto" w:fill="FFFFFF"/>
            <w:vAlign w:val="center"/>
          </w:tcPr>
          <w:p w14:paraId="586EF0F0" w14:textId="77777777" w:rsidR="001B3460" w:rsidRPr="008B4FE6" w:rsidRDefault="00051339" w:rsidP="006522DE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Projekt wpłynie na sądy powszechne </w:t>
            </w:r>
            <w:r w:rsidR="006522DE">
              <w:rPr>
                <w:rFonts w:ascii="Times New Roman" w:hAnsi="Times New Roman"/>
                <w:color w:val="000000"/>
                <w:spacing w:val="-2"/>
              </w:rPr>
              <w:t xml:space="preserve">i informatyzację poprzez </w:t>
            </w:r>
            <w:r w:rsidR="006522DE" w:rsidRPr="006522DE">
              <w:rPr>
                <w:rFonts w:ascii="Times New Roman" w:hAnsi="Times New Roman"/>
                <w:color w:val="000000"/>
                <w:spacing w:val="-2"/>
              </w:rPr>
              <w:t>ustanowienie procedury wnoszenia pisma za pośrednictwem portalu informacyjnego, określenie formatu, maksymalnego rozmiaru, wymagań dotyczących nazewnictwa i wymagań technicznych dla pism i załączników wnoszonych za pośrednictwem portalu informacyjnego, wprowadzenie zasady automatycznego generowania oraz udostępniania elektronicznego potwierdzenia wniesienia pisma procesowego.</w:t>
            </w:r>
          </w:p>
        </w:tc>
      </w:tr>
      <w:tr w:rsidR="001B3460" w:rsidRPr="008B4FE6" w14:paraId="42E89EBD" w14:textId="77777777" w:rsidTr="00B753DA">
        <w:trPr>
          <w:trHeight w:val="142"/>
        </w:trPr>
        <w:tc>
          <w:tcPr>
            <w:tcW w:w="11008" w:type="dxa"/>
            <w:gridSpan w:val="29"/>
            <w:shd w:val="clear" w:color="auto" w:fill="99CCFF"/>
          </w:tcPr>
          <w:p w14:paraId="2425382B" w14:textId="77777777" w:rsidR="001B3460" w:rsidRPr="00627221" w:rsidRDefault="00A767D2">
            <w:pPr>
              <w:numPr>
                <w:ilvl w:val="0"/>
                <w:numId w:val="1"/>
              </w:numPr>
              <w:spacing w:before="60" w:after="60"/>
              <w:ind w:left="318" w:hanging="284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Plan</w:t>
            </w:r>
            <w:r w:rsidR="00CF5F4F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owane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w</w:t>
            </w:r>
            <w:r w:rsidR="00627221"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ykonani</w:t>
            </w:r>
            <w:r w:rsidR="00CF5F4F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e</w:t>
            </w:r>
            <w:r w:rsidR="00627221"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przepisów aktu prawnego</w:t>
            </w:r>
          </w:p>
        </w:tc>
      </w:tr>
      <w:tr w:rsidR="001B3460" w:rsidRPr="008B4FE6" w14:paraId="3EE0F369" w14:textId="77777777" w:rsidTr="00B753DA">
        <w:trPr>
          <w:trHeight w:val="142"/>
        </w:trPr>
        <w:tc>
          <w:tcPr>
            <w:tcW w:w="11008" w:type="dxa"/>
            <w:gridSpan w:val="29"/>
            <w:shd w:val="clear" w:color="auto" w:fill="FFFFFF"/>
          </w:tcPr>
          <w:p w14:paraId="711E9FAF" w14:textId="77777777" w:rsidR="001B3460" w:rsidRPr="00B37C80" w:rsidRDefault="007C6C3A" w:rsidP="00DE3780">
            <w:pPr>
              <w:jc w:val="both"/>
              <w:rPr>
                <w:rFonts w:ascii="Times New Roman" w:hAnsi="Times New Roman"/>
                <w:spacing w:val="-2"/>
              </w:rPr>
            </w:pPr>
            <w:r w:rsidRPr="007C6C3A">
              <w:rPr>
                <w:rFonts w:ascii="Times New Roman" w:hAnsi="Times New Roman"/>
                <w:spacing w:val="-2"/>
              </w:rPr>
              <w:t xml:space="preserve">Rozporządzenie </w:t>
            </w:r>
            <w:r w:rsidR="003A5DA6">
              <w:rPr>
                <w:rFonts w:ascii="Times New Roman" w:hAnsi="Times New Roman"/>
                <w:spacing w:val="-2"/>
              </w:rPr>
              <w:t>wejdzie</w:t>
            </w:r>
            <w:r w:rsidR="003A5DA6" w:rsidRPr="007C6C3A">
              <w:rPr>
                <w:rFonts w:ascii="Times New Roman" w:hAnsi="Times New Roman"/>
                <w:spacing w:val="-2"/>
              </w:rPr>
              <w:t xml:space="preserve"> </w:t>
            </w:r>
            <w:r w:rsidRPr="007C6C3A">
              <w:rPr>
                <w:rFonts w:ascii="Times New Roman" w:hAnsi="Times New Roman"/>
                <w:spacing w:val="-2"/>
              </w:rPr>
              <w:t>w życie z dniem 1 marca 2026 r.</w:t>
            </w:r>
          </w:p>
        </w:tc>
      </w:tr>
      <w:tr w:rsidR="001B3460" w:rsidRPr="008B4FE6" w14:paraId="7236FB87" w14:textId="77777777" w:rsidTr="00B753DA">
        <w:trPr>
          <w:trHeight w:val="142"/>
        </w:trPr>
        <w:tc>
          <w:tcPr>
            <w:tcW w:w="11008" w:type="dxa"/>
            <w:gridSpan w:val="29"/>
            <w:shd w:val="clear" w:color="auto" w:fill="99CCFF"/>
          </w:tcPr>
          <w:p w14:paraId="56E6E048" w14:textId="77777777" w:rsidR="001B3460" w:rsidRPr="008B4FE6" w:rsidRDefault="001B3460">
            <w:pPr>
              <w:numPr>
                <w:ilvl w:val="0"/>
                <w:numId w:val="1"/>
              </w:numPr>
              <w:spacing w:before="60" w:after="60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W jaki sposób i kiedy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nastąpi ewaluacja efektów projektu </w:t>
            </w:r>
            <w:r w:rsidR="00A47BDF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oraz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jakie mierniki zostaną </w:t>
            </w:r>
            <w:r w:rsidR="00C33027"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zastosowane</w:t>
            </w:r>
            <w:r w:rsidR="00C33027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?</w:t>
            </w:r>
          </w:p>
        </w:tc>
      </w:tr>
      <w:tr w:rsidR="001B3460" w:rsidRPr="008B4FE6" w14:paraId="6A263584" w14:textId="77777777" w:rsidTr="00B753DA">
        <w:trPr>
          <w:trHeight w:val="142"/>
        </w:trPr>
        <w:tc>
          <w:tcPr>
            <w:tcW w:w="11008" w:type="dxa"/>
            <w:gridSpan w:val="29"/>
            <w:shd w:val="clear" w:color="auto" w:fill="FFFFFF"/>
          </w:tcPr>
          <w:p w14:paraId="425C4DEC" w14:textId="77777777" w:rsidR="006C407B" w:rsidRPr="003E6A33" w:rsidRDefault="007C6C3A" w:rsidP="00DE3780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7C6C3A">
              <w:rPr>
                <w:rFonts w:ascii="Times New Roman" w:hAnsi="Times New Roman"/>
                <w:color w:val="000000"/>
                <w:spacing w:val="-2"/>
              </w:rPr>
              <w:t>Ze względu na charakter regulacji nie będzie ona podlegała ewaluacji.</w:t>
            </w:r>
          </w:p>
        </w:tc>
      </w:tr>
      <w:tr w:rsidR="001B3460" w:rsidRPr="008B4FE6" w14:paraId="6A818413" w14:textId="77777777" w:rsidTr="00B753DA">
        <w:trPr>
          <w:trHeight w:val="142"/>
        </w:trPr>
        <w:tc>
          <w:tcPr>
            <w:tcW w:w="11008" w:type="dxa"/>
            <w:gridSpan w:val="29"/>
            <w:shd w:val="clear" w:color="auto" w:fill="99CCFF"/>
          </w:tcPr>
          <w:p w14:paraId="56E0008A" w14:textId="77777777" w:rsidR="001B3460" w:rsidRPr="008B4FE6" w:rsidRDefault="001B3460">
            <w:pPr>
              <w:numPr>
                <w:ilvl w:val="0"/>
                <w:numId w:val="1"/>
              </w:numPr>
              <w:spacing w:before="60" w:after="60"/>
              <w:ind w:left="318" w:hanging="284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Załączniki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(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istotne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dokumenty źródłowe,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badania, analizy </w:t>
            </w:r>
            <w:r w:rsidR="00C33027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itp.</w:t>
            </w: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) </w:t>
            </w:r>
          </w:p>
        </w:tc>
      </w:tr>
      <w:tr w:rsidR="001B3460" w:rsidRPr="008B4FE6" w14:paraId="0064A211" w14:textId="77777777" w:rsidTr="00B753DA">
        <w:trPr>
          <w:trHeight w:val="142"/>
        </w:trPr>
        <w:tc>
          <w:tcPr>
            <w:tcW w:w="11008" w:type="dxa"/>
            <w:gridSpan w:val="29"/>
            <w:shd w:val="clear" w:color="auto" w:fill="FFFFFF"/>
          </w:tcPr>
          <w:p w14:paraId="05B4B3DC" w14:textId="32A64E1C" w:rsidR="001B3460" w:rsidRPr="0040678E" w:rsidRDefault="0088462F" w:rsidP="00DE3780">
            <w:pPr>
              <w:jc w:val="both"/>
              <w:rPr>
                <w:rFonts w:ascii="Times New Roman" w:hAnsi="Times New Roman"/>
                <w:iCs/>
                <w:color w:val="000000"/>
                <w:spacing w:val="-2"/>
              </w:rPr>
            </w:pPr>
            <w:r>
              <w:rPr>
                <w:rFonts w:ascii="Times New Roman" w:hAnsi="Times New Roman"/>
                <w:iCs/>
                <w:color w:val="000000"/>
                <w:spacing w:val="-2"/>
              </w:rPr>
              <w:t>ZESTAWIENIE UWAG OPINIOWANIE</w:t>
            </w:r>
            <w:r w:rsidR="00DA3F2D">
              <w:rPr>
                <w:rFonts w:ascii="Times New Roman" w:hAnsi="Times New Roman"/>
                <w:iCs/>
                <w:color w:val="000000"/>
                <w:spacing w:val="-2"/>
              </w:rPr>
              <w:t>.</w:t>
            </w:r>
          </w:p>
        </w:tc>
      </w:tr>
    </w:tbl>
    <w:p w14:paraId="2FAA20EC" w14:textId="77777777" w:rsidR="006176ED" w:rsidRPr="00522D94" w:rsidRDefault="009D0655" w:rsidP="00DE3780">
      <w:pPr>
        <w:pStyle w:val="Nagwek1"/>
        <w:spacing w:line="276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</w:p>
    <w:sectPr w:rsidR="006176ED" w:rsidRPr="00522D94" w:rsidSect="00725DE7">
      <w:headerReference w:type="default" r:id="rId8"/>
      <w:footerReference w:type="default" r:id="rId9"/>
      <w:pgSz w:w="11906" w:h="16838"/>
      <w:pgMar w:top="568" w:right="707" w:bottom="568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A856BC" w14:textId="77777777" w:rsidR="0062197A" w:rsidRDefault="0062197A" w:rsidP="00044739">
      <w:pPr>
        <w:spacing w:line="240" w:lineRule="auto"/>
      </w:pPr>
      <w:r>
        <w:separator/>
      </w:r>
    </w:p>
  </w:endnote>
  <w:endnote w:type="continuationSeparator" w:id="0">
    <w:p w14:paraId="203CE14D" w14:textId="77777777" w:rsidR="0062197A" w:rsidRDefault="0062197A" w:rsidP="00044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782E39" w14:textId="77777777" w:rsidR="00751E59" w:rsidRDefault="00751E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2A885F" w14:textId="77777777" w:rsidR="0062197A" w:rsidRDefault="0062197A" w:rsidP="00044739">
      <w:pPr>
        <w:spacing w:line="240" w:lineRule="auto"/>
      </w:pPr>
      <w:r>
        <w:separator/>
      </w:r>
    </w:p>
  </w:footnote>
  <w:footnote w:type="continuationSeparator" w:id="0">
    <w:p w14:paraId="05A69B0A" w14:textId="77777777" w:rsidR="0062197A" w:rsidRDefault="0062197A" w:rsidP="0004473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C2F19" w14:textId="77777777" w:rsidR="00751E59" w:rsidRDefault="00751E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F1F4A"/>
    <w:multiLevelType w:val="hybridMultilevel"/>
    <w:tmpl w:val="321A692C"/>
    <w:lvl w:ilvl="0" w:tplc="6608C8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2703B"/>
    <w:multiLevelType w:val="hybridMultilevel"/>
    <w:tmpl w:val="C4A2FC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B3631A"/>
    <w:multiLevelType w:val="hybridMultilevel"/>
    <w:tmpl w:val="A094BD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EA52DE"/>
    <w:multiLevelType w:val="hybridMultilevel"/>
    <w:tmpl w:val="16F29380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51988"/>
    <w:multiLevelType w:val="hybridMultilevel"/>
    <w:tmpl w:val="770A5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B2AF1"/>
    <w:multiLevelType w:val="hybridMultilevel"/>
    <w:tmpl w:val="32287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5451A5"/>
    <w:multiLevelType w:val="hybridMultilevel"/>
    <w:tmpl w:val="DF4A9A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4173A9"/>
    <w:multiLevelType w:val="hybridMultilevel"/>
    <w:tmpl w:val="16006E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8828331">
    <w:abstractNumId w:val="4"/>
  </w:num>
  <w:num w:numId="2" w16cid:durableId="57749564">
    <w:abstractNumId w:val="0"/>
  </w:num>
  <w:num w:numId="3" w16cid:durableId="502743290">
    <w:abstractNumId w:val="8"/>
  </w:num>
  <w:num w:numId="4" w16cid:durableId="1935672725">
    <w:abstractNumId w:val="1"/>
  </w:num>
  <w:num w:numId="5" w16cid:durableId="1538162309">
    <w:abstractNumId w:val="3"/>
  </w:num>
  <w:num w:numId="6" w16cid:durableId="2084328567">
    <w:abstractNumId w:val="6"/>
  </w:num>
  <w:num w:numId="7" w16cid:durableId="407387703">
    <w:abstractNumId w:val="7"/>
  </w:num>
  <w:num w:numId="8" w16cid:durableId="173809824">
    <w:abstractNumId w:val="5"/>
  </w:num>
  <w:num w:numId="9" w16cid:durableId="570310832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ocumentProtection w:edit="forms"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6CB"/>
    <w:rsid w:val="000008E5"/>
    <w:rsid w:val="000015EE"/>
    <w:rsid w:val="000022D5"/>
    <w:rsid w:val="00004C6A"/>
    <w:rsid w:val="00012D11"/>
    <w:rsid w:val="00013EB5"/>
    <w:rsid w:val="00023836"/>
    <w:rsid w:val="000356A9"/>
    <w:rsid w:val="00036083"/>
    <w:rsid w:val="00044138"/>
    <w:rsid w:val="00044650"/>
    <w:rsid w:val="000446F9"/>
    <w:rsid w:val="00044739"/>
    <w:rsid w:val="00051339"/>
    <w:rsid w:val="00051637"/>
    <w:rsid w:val="00056488"/>
    <w:rsid w:val="00056681"/>
    <w:rsid w:val="000605D3"/>
    <w:rsid w:val="000648A7"/>
    <w:rsid w:val="0006618B"/>
    <w:rsid w:val="000670C0"/>
    <w:rsid w:val="00070039"/>
    <w:rsid w:val="00071B99"/>
    <w:rsid w:val="0007555A"/>
    <w:rsid w:val="000756E5"/>
    <w:rsid w:val="0007704E"/>
    <w:rsid w:val="00080EC8"/>
    <w:rsid w:val="00082F07"/>
    <w:rsid w:val="00084C64"/>
    <w:rsid w:val="000944AC"/>
    <w:rsid w:val="00094CB9"/>
    <w:rsid w:val="000956B2"/>
    <w:rsid w:val="000969E7"/>
    <w:rsid w:val="00096AB2"/>
    <w:rsid w:val="000A0D05"/>
    <w:rsid w:val="000A23DE"/>
    <w:rsid w:val="000A4020"/>
    <w:rsid w:val="000A7C0A"/>
    <w:rsid w:val="000B0150"/>
    <w:rsid w:val="000B1EB1"/>
    <w:rsid w:val="000B2608"/>
    <w:rsid w:val="000B54FB"/>
    <w:rsid w:val="000C2286"/>
    <w:rsid w:val="000C29B0"/>
    <w:rsid w:val="000C76FC"/>
    <w:rsid w:val="000D2384"/>
    <w:rsid w:val="000D38FC"/>
    <w:rsid w:val="000D4D90"/>
    <w:rsid w:val="000D5D4F"/>
    <w:rsid w:val="000E2D10"/>
    <w:rsid w:val="000E551C"/>
    <w:rsid w:val="000F3204"/>
    <w:rsid w:val="0010102B"/>
    <w:rsid w:val="0010548B"/>
    <w:rsid w:val="00105B9A"/>
    <w:rsid w:val="001072D1"/>
    <w:rsid w:val="00110E85"/>
    <w:rsid w:val="001147D0"/>
    <w:rsid w:val="00115CB0"/>
    <w:rsid w:val="00117017"/>
    <w:rsid w:val="00120D59"/>
    <w:rsid w:val="00122005"/>
    <w:rsid w:val="00123239"/>
    <w:rsid w:val="00130E8E"/>
    <w:rsid w:val="0013216E"/>
    <w:rsid w:val="00134786"/>
    <w:rsid w:val="00135D40"/>
    <w:rsid w:val="001401B5"/>
    <w:rsid w:val="00141301"/>
    <w:rsid w:val="001422B9"/>
    <w:rsid w:val="00143E48"/>
    <w:rsid w:val="00143FB6"/>
    <w:rsid w:val="0014665F"/>
    <w:rsid w:val="00153464"/>
    <w:rsid w:val="001541B3"/>
    <w:rsid w:val="00155B15"/>
    <w:rsid w:val="00157AA2"/>
    <w:rsid w:val="00161E99"/>
    <w:rsid w:val="001625BE"/>
    <w:rsid w:val="001643A4"/>
    <w:rsid w:val="00167CC2"/>
    <w:rsid w:val="001713E2"/>
    <w:rsid w:val="001727BB"/>
    <w:rsid w:val="00174125"/>
    <w:rsid w:val="0017668E"/>
    <w:rsid w:val="00180D25"/>
    <w:rsid w:val="0018273D"/>
    <w:rsid w:val="0018318D"/>
    <w:rsid w:val="0018572C"/>
    <w:rsid w:val="0018638A"/>
    <w:rsid w:val="00187E79"/>
    <w:rsid w:val="00187F0D"/>
    <w:rsid w:val="00192CC5"/>
    <w:rsid w:val="001956A7"/>
    <w:rsid w:val="001A0530"/>
    <w:rsid w:val="001A118A"/>
    <w:rsid w:val="001A17D2"/>
    <w:rsid w:val="001A27F4"/>
    <w:rsid w:val="001A2D95"/>
    <w:rsid w:val="001B3460"/>
    <w:rsid w:val="001B4CA1"/>
    <w:rsid w:val="001B75D8"/>
    <w:rsid w:val="001C1060"/>
    <w:rsid w:val="001C3BAE"/>
    <w:rsid w:val="001C3C63"/>
    <w:rsid w:val="001C4B6F"/>
    <w:rsid w:val="001C6278"/>
    <w:rsid w:val="001C6E1D"/>
    <w:rsid w:val="001D0FE3"/>
    <w:rsid w:val="001D1B73"/>
    <w:rsid w:val="001D4732"/>
    <w:rsid w:val="001D6A3C"/>
    <w:rsid w:val="001D6D51"/>
    <w:rsid w:val="001E23B7"/>
    <w:rsid w:val="001F15C5"/>
    <w:rsid w:val="001F653A"/>
    <w:rsid w:val="001F6979"/>
    <w:rsid w:val="001F7E21"/>
    <w:rsid w:val="00202BC6"/>
    <w:rsid w:val="00204A02"/>
    <w:rsid w:val="00205141"/>
    <w:rsid w:val="0020516B"/>
    <w:rsid w:val="002134BC"/>
    <w:rsid w:val="00213559"/>
    <w:rsid w:val="00213EFD"/>
    <w:rsid w:val="002172F1"/>
    <w:rsid w:val="0021795D"/>
    <w:rsid w:val="00220655"/>
    <w:rsid w:val="00222F9E"/>
    <w:rsid w:val="00223C7B"/>
    <w:rsid w:val="00224AB1"/>
    <w:rsid w:val="0022537D"/>
    <w:rsid w:val="002255A6"/>
    <w:rsid w:val="0022687A"/>
    <w:rsid w:val="00230728"/>
    <w:rsid w:val="00233279"/>
    <w:rsid w:val="00234040"/>
    <w:rsid w:val="002355A8"/>
    <w:rsid w:val="00235CD2"/>
    <w:rsid w:val="00240E42"/>
    <w:rsid w:val="00242963"/>
    <w:rsid w:val="002475E3"/>
    <w:rsid w:val="002505B6"/>
    <w:rsid w:val="002523AC"/>
    <w:rsid w:val="00254DED"/>
    <w:rsid w:val="00255461"/>
    <w:rsid w:val="00255619"/>
    <w:rsid w:val="00255DAD"/>
    <w:rsid w:val="00255FA9"/>
    <w:rsid w:val="00256108"/>
    <w:rsid w:val="00256467"/>
    <w:rsid w:val="0025700A"/>
    <w:rsid w:val="00260372"/>
    <w:rsid w:val="00260F33"/>
    <w:rsid w:val="002613BD"/>
    <w:rsid w:val="00262056"/>
    <w:rsid w:val="002624F1"/>
    <w:rsid w:val="002639F5"/>
    <w:rsid w:val="0026450F"/>
    <w:rsid w:val="00270A19"/>
    <w:rsid w:val="00270C81"/>
    <w:rsid w:val="00271558"/>
    <w:rsid w:val="00272A40"/>
    <w:rsid w:val="00274862"/>
    <w:rsid w:val="00277044"/>
    <w:rsid w:val="00280760"/>
    <w:rsid w:val="002811CA"/>
    <w:rsid w:val="00282D72"/>
    <w:rsid w:val="00283402"/>
    <w:rsid w:val="002850E8"/>
    <w:rsid w:val="002856F8"/>
    <w:rsid w:val="002877E6"/>
    <w:rsid w:val="00290FD6"/>
    <w:rsid w:val="002914AF"/>
    <w:rsid w:val="00294259"/>
    <w:rsid w:val="00296CD5"/>
    <w:rsid w:val="00297397"/>
    <w:rsid w:val="002A2C81"/>
    <w:rsid w:val="002B3D1A"/>
    <w:rsid w:val="002C27D0"/>
    <w:rsid w:val="002C2C9B"/>
    <w:rsid w:val="002C38A0"/>
    <w:rsid w:val="002C3F69"/>
    <w:rsid w:val="002C463A"/>
    <w:rsid w:val="002C5319"/>
    <w:rsid w:val="002D17D6"/>
    <w:rsid w:val="002D18D7"/>
    <w:rsid w:val="002D1D86"/>
    <w:rsid w:val="002D21CE"/>
    <w:rsid w:val="002E20F7"/>
    <w:rsid w:val="002E3DA3"/>
    <w:rsid w:val="002E450F"/>
    <w:rsid w:val="002E6B38"/>
    <w:rsid w:val="002E6D63"/>
    <w:rsid w:val="002E6E2B"/>
    <w:rsid w:val="002E75B8"/>
    <w:rsid w:val="002F0D08"/>
    <w:rsid w:val="002F44B9"/>
    <w:rsid w:val="002F500B"/>
    <w:rsid w:val="002F6C0F"/>
    <w:rsid w:val="00300991"/>
    <w:rsid w:val="00301959"/>
    <w:rsid w:val="00305737"/>
    <w:rsid w:val="00305B8A"/>
    <w:rsid w:val="00311748"/>
    <w:rsid w:val="00315599"/>
    <w:rsid w:val="00324B34"/>
    <w:rsid w:val="00325F9F"/>
    <w:rsid w:val="00331BF9"/>
    <w:rsid w:val="00334756"/>
    <w:rsid w:val="0033495E"/>
    <w:rsid w:val="00334A79"/>
    <w:rsid w:val="00334D8D"/>
    <w:rsid w:val="00337345"/>
    <w:rsid w:val="00337DD2"/>
    <w:rsid w:val="003404D1"/>
    <w:rsid w:val="003443FF"/>
    <w:rsid w:val="00355808"/>
    <w:rsid w:val="00360235"/>
    <w:rsid w:val="00362C7E"/>
    <w:rsid w:val="00363309"/>
    <w:rsid w:val="00363601"/>
    <w:rsid w:val="003646EB"/>
    <w:rsid w:val="00366892"/>
    <w:rsid w:val="003713A3"/>
    <w:rsid w:val="00376AC9"/>
    <w:rsid w:val="00381451"/>
    <w:rsid w:val="00384DAD"/>
    <w:rsid w:val="003860FD"/>
    <w:rsid w:val="0038623A"/>
    <w:rsid w:val="003872F7"/>
    <w:rsid w:val="00390BF1"/>
    <w:rsid w:val="00393032"/>
    <w:rsid w:val="00394B69"/>
    <w:rsid w:val="00396128"/>
    <w:rsid w:val="00397078"/>
    <w:rsid w:val="003A0D29"/>
    <w:rsid w:val="003A2448"/>
    <w:rsid w:val="003A590B"/>
    <w:rsid w:val="003A5DA6"/>
    <w:rsid w:val="003A646B"/>
    <w:rsid w:val="003A6953"/>
    <w:rsid w:val="003B1481"/>
    <w:rsid w:val="003B20A7"/>
    <w:rsid w:val="003B41AA"/>
    <w:rsid w:val="003B46E4"/>
    <w:rsid w:val="003B6083"/>
    <w:rsid w:val="003B6D3D"/>
    <w:rsid w:val="003B74B5"/>
    <w:rsid w:val="003C018C"/>
    <w:rsid w:val="003C3838"/>
    <w:rsid w:val="003C3D18"/>
    <w:rsid w:val="003C489F"/>
    <w:rsid w:val="003C5847"/>
    <w:rsid w:val="003D0681"/>
    <w:rsid w:val="003D12F6"/>
    <w:rsid w:val="003D1426"/>
    <w:rsid w:val="003E1EF3"/>
    <w:rsid w:val="003E2F4E"/>
    <w:rsid w:val="003E467E"/>
    <w:rsid w:val="003E6A33"/>
    <w:rsid w:val="003E720A"/>
    <w:rsid w:val="003F36DE"/>
    <w:rsid w:val="003F3AC5"/>
    <w:rsid w:val="0040055E"/>
    <w:rsid w:val="0040080A"/>
    <w:rsid w:val="00402828"/>
    <w:rsid w:val="00403E6E"/>
    <w:rsid w:val="0040678E"/>
    <w:rsid w:val="00410684"/>
    <w:rsid w:val="004129B4"/>
    <w:rsid w:val="004146DC"/>
    <w:rsid w:val="00417EF0"/>
    <w:rsid w:val="004202AE"/>
    <w:rsid w:val="00421995"/>
    <w:rsid w:val="00422181"/>
    <w:rsid w:val="00422B1D"/>
    <w:rsid w:val="004244A8"/>
    <w:rsid w:val="00425F72"/>
    <w:rsid w:val="0042709F"/>
    <w:rsid w:val="00427736"/>
    <w:rsid w:val="00432A80"/>
    <w:rsid w:val="00433865"/>
    <w:rsid w:val="00436710"/>
    <w:rsid w:val="00440389"/>
    <w:rsid w:val="004416A8"/>
    <w:rsid w:val="00441787"/>
    <w:rsid w:val="00441CBC"/>
    <w:rsid w:val="00441F44"/>
    <w:rsid w:val="00444F2D"/>
    <w:rsid w:val="004473E8"/>
    <w:rsid w:val="004512F2"/>
    <w:rsid w:val="00452034"/>
    <w:rsid w:val="00452C7C"/>
    <w:rsid w:val="00455FA6"/>
    <w:rsid w:val="00466C70"/>
    <w:rsid w:val="004702C9"/>
    <w:rsid w:val="004717E5"/>
    <w:rsid w:val="00471DA0"/>
    <w:rsid w:val="00472E45"/>
    <w:rsid w:val="00473FEA"/>
    <w:rsid w:val="004753AB"/>
    <w:rsid w:val="0047579D"/>
    <w:rsid w:val="00483262"/>
    <w:rsid w:val="0048332F"/>
    <w:rsid w:val="00484107"/>
    <w:rsid w:val="004849B8"/>
    <w:rsid w:val="00485CC5"/>
    <w:rsid w:val="00486DBD"/>
    <w:rsid w:val="00492523"/>
    <w:rsid w:val="0049343F"/>
    <w:rsid w:val="004964FC"/>
    <w:rsid w:val="004A145E"/>
    <w:rsid w:val="004A1F15"/>
    <w:rsid w:val="004A28AC"/>
    <w:rsid w:val="004A2A81"/>
    <w:rsid w:val="004A7851"/>
    <w:rsid w:val="004A7BD7"/>
    <w:rsid w:val="004B2473"/>
    <w:rsid w:val="004B4599"/>
    <w:rsid w:val="004B7D5C"/>
    <w:rsid w:val="004C15C2"/>
    <w:rsid w:val="004C36D8"/>
    <w:rsid w:val="004C4100"/>
    <w:rsid w:val="004C6A0C"/>
    <w:rsid w:val="004D1248"/>
    <w:rsid w:val="004D1C60"/>
    <w:rsid w:val="004D1E3C"/>
    <w:rsid w:val="004D2747"/>
    <w:rsid w:val="004D4041"/>
    <w:rsid w:val="004D4169"/>
    <w:rsid w:val="004D4FE7"/>
    <w:rsid w:val="004D6E14"/>
    <w:rsid w:val="004E0163"/>
    <w:rsid w:val="004E0BFF"/>
    <w:rsid w:val="004E0C8B"/>
    <w:rsid w:val="004E20B0"/>
    <w:rsid w:val="004E4DAA"/>
    <w:rsid w:val="004E521F"/>
    <w:rsid w:val="004E556C"/>
    <w:rsid w:val="004F2C48"/>
    <w:rsid w:val="004F4E17"/>
    <w:rsid w:val="004F564C"/>
    <w:rsid w:val="0050082F"/>
    <w:rsid w:val="00500B08"/>
    <w:rsid w:val="00500C56"/>
    <w:rsid w:val="00501713"/>
    <w:rsid w:val="00506568"/>
    <w:rsid w:val="0051551B"/>
    <w:rsid w:val="00515E6C"/>
    <w:rsid w:val="005163F5"/>
    <w:rsid w:val="005178FF"/>
    <w:rsid w:val="00520C57"/>
    <w:rsid w:val="005220D1"/>
    <w:rsid w:val="00522D94"/>
    <w:rsid w:val="0052420C"/>
    <w:rsid w:val="00525D8B"/>
    <w:rsid w:val="005321F8"/>
    <w:rsid w:val="005328EC"/>
    <w:rsid w:val="00533D89"/>
    <w:rsid w:val="00536564"/>
    <w:rsid w:val="00542869"/>
    <w:rsid w:val="00544597"/>
    <w:rsid w:val="00544FFE"/>
    <w:rsid w:val="005473F5"/>
    <w:rsid w:val="005477E7"/>
    <w:rsid w:val="00551EB9"/>
    <w:rsid w:val="00552794"/>
    <w:rsid w:val="00554E76"/>
    <w:rsid w:val="00563199"/>
    <w:rsid w:val="00564874"/>
    <w:rsid w:val="00565E37"/>
    <w:rsid w:val="00567963"/>
    <w:rsid w:val="0057009A"/>
    <w:rsid w:val="00570A57"/>
    <w:rsid w:val="00571260"/>
    <w:rsid w:val="0057189C"/>
    <w:rsid w:val="00573FC1"/>
    <w:rsid w:val="005741EE"/>
    <w:rsid w:val="005758B9"/>
    <w:rsid w:val="0057668E"/>
    <w:rsid w:val="00581C18"/>
    <w:rsid w:val="0058393B"/>
    <w:rsid w:val="00584E97"/>
    <w:rsid w:val="00595E83"/>
    <w:rsid w:val="00596530"/>
    <w:rsid w:val="005967F3"/>
    <w:rsid w:val="005A06DF"/>
    <w:rsid w:val="005A2A88"/>
    <w:rsid w:val="005A3D10"/>
    <w:rsid w:val="005A3EE9"/>
    <w:rsid w:val="005A5527"/>
    <w:rsid w:val="005A5AE6"/>
    <w:rsid w:val="005B1206"/>
    <w:rsid w:val="005B1F57"/>
    <w:rsid w:val="005B37E8"/>
    <w:rsid w:val="005B6676"/>
    <w:rsid w:val="005C0056"/>
    <w:rsid w:val="005D1FEF"/>
    <w:rsid w:val="005D28EC"/>
    <w:rsid w:val="005D564A"/>
    <w:rsid w:val="005D61D6"/>
    <w:rsid w:val="005E03F1"/>
    <w:rsid w:val="005E0D13"/>
    <w:rsid w:val="005E5047"/>
    <w:rsid w:val="005E7205"/>
    <w:rsid w:val="005E7371"/>
    <w:rsid w:val="005F116C"/>
    <w:rsid w:val="005F2131"/>
    <w:rsid w:val="005F2A86"/>
    <w:rsid w:val="005F3119"/>
    <w:rsid w:val="005F37A7"/>
    <w:rsid w:val="005F689A"/>
    <w:rsid w:val="00605EF6"/>
    <w:rsid w:val="00606455"/>
    <w:rsid w:val="00610E81"/>
    <w:rsid w:val="00614929"/>
    <w:rsid w:val="006161CB"/>
    <w:rsid w:val="00616511"/>
    <w:rsid w:val="006170D0"/>
    <w:rsid w:val="006176ED"/>
    <w:rsid w:val="006202F3"/>
    <w:rsid w:val="006207F4"/>
    <w:rsid w:val="0062097A"/>
    <w:rsid w:val="0062197A"/>
    <w:rsid w:val="00621DA6"/>
    <w:rsid w:val="006221D7"/>
    <w:rsid w:val="00623CFE"/>
    <w:rsid w:val="0062565B"/>
    <w:rsid w:val="00626A9D"/>
    <w:rsid w:val="00627221"/>
    <w:rsid w:val="00627EE8"/>
    <w:rsid w:val="006316FA"/>
    <w:rsid w:val="006370D2"/>
    <w:rsid w:val="006376AC"/>
    <w:rsid w:val="00637870"/>
    <w:rsid w:val="0064074F"/>
    <w:rsid w:val="00641F55"/>
    <w:rsid w:val="00645E4A"/>
    <w:rsid w:val="0064736E"/>
    <w:rsid w:val="00651662"/>
    <w:rsid w:val="006522DE"/>
    <w:rsid w:val="00653688"/>
    <w:rsid w:val="00653ED8"/>
    <w:rsid w:val="00654FE1"/>
    <w:rsid w:val="0066091B"/>
    <w:rsid w:val="0066164C"/>
    <w:rsid w:val="006633B7"/>
    <w:rsid w:val="006660E9"/>
    <w:rsid w:val="00667249"/>
    <w:rsid w:val="00667558"/>
    <w:rsid w:val="00671523"/>
    <w:rsid w:val="006754EF"/>
    <w:rsid w:val="00675E90"/>
    <w:rsid w:val="00676C8D"/>
    <w:rsid w:val="00676F1F"/>
    <w:rsid w:val="00677381"/>
    <w:rsid w:val="00677414"/>
    <w:rsid w:val="00677E0F"/>
    <w:rsid w:val="0068226E"/>
    <w:rsid w:val="006832CF"/>
    <w:rsid w:val="00683678"/>
    <w:rsid w:val="0068601E"/>
    <w:rsid w:val="0069486B"/>
    <w:rsid w:val="00695D6C"/>
    <w:rsid w:val="00696055"/>
    <w:rsid w:val="00696DD4"/>
    <w:rsid w:val="006A19E9"/>
    <w:rsid w:val="006A20BC"/>
    <w:rsid w:val="006A33C4"/>
    <w:rsid w:val="006A4904"/>
    <w:rsid w:val="006A548F"/>
    <w:rsid w:val="006A701A"/>
    <w:rsid w:val="006B5490"/>
    <w:rsid w:val="006B64DC"/>
    <w:rsid w:val="006B7A91"/>
    <w:rsid w:val="006C2E2E"/>
    <w:rsid w:val="006C3896"/>
    <w:rsid w:val="006C407B"/>
    <w:rsid w:val="006C4BBF"/>
    <w:rsid w:val="006C5190"/>
    <w:rsid w:val="006D1F35"/>
    <w:rsid w:val="006D46C4"/>
    <w:rsid w:val="006D4704"/>
    <w:rsid w:val="006D6A2D"/>
    <w:rsid w:val="006E1E18"/>
    <w:rsid w:val="006E31CE"/>
    <w:rsid w:val="006E34D3"/>
    <w:rsid w:val="006F1435"/>
    <w:rsid w:val="006F78C4"/>
    <w:rsid w:val="007000ED"/>
    <w:rsid w:val="007024B3"/>
    <w:rsid w:val="007031A0"/>
    <w:rsid w:val="00705A29"/>
    <w:rsid w:val="00707498"/>
    <w:rsid w:val="00711A65"/>
    <w:rsid w:val="00712305"/>
    <w:rsid w:val="00713265"/>
    <w:rsid w:val="00714133"/>
    <w:rsid w:val="00714DA4"/>
    <w:rsid w:val="007158B2"/>
    <w:rsid w:val="00716081"/>
    <w:rsid w:val="00722B48"/>
    <w:rsid w:val="00724164"/>
    <w:rsid w:val="00725DE7"/>
    <w:rsid w:val="0072636A"/>
    <w:rsid w:val="00726B44"/>
    <w:rsid w:val="00727248"/>
    <w:rsid w:val="00727FF5"/>
    <w:rsid w:val="00730913"/>
    <w:rsid w:val="007318DD"/>
    <w:rsid w:val="00733167"/>
    <w:rsid w:val="007331A3"/>
    <w:rsid w:val="00740D2C"/>
    <w:rsid w:val="00744BF9"/>
    <w:rsid w:val="00751E59"/>
    <w:rsid w:val="007523DC"/>
    <w:rsid w:val="00752623"/>
    <w:rsid w:val="00760F1F"/>
    <w:rsid w:val="00761B8A"/>
    <w:rsid w:val="0076423E"/>
    <w:rsid w:val="007646CB"/>
    <w:rsid w:val="00764D81"/>
    <w:rsid w:val="0076658F"/>
    <w:rsid w:val="0077040A"/>
    <w:rsid w:val="00772411"/>
    <w:rsid w:val="007724B4"/>
    <w:rsid w:val="00772D64"/>
    <w:rsid w:val="007737F7"/>
    <w:rsid w:val="00786126"/>
    <w:rsid w:val="00787404"/>
    <w:rsid w:val="00790D83"/>
    <w:rsid w:val="0079113E"/>
    <w:rsid w:val="00792609"/>
    <w:rsid w:val="00792887"/>
    <w:rsid w:val="007943E2"/>
    <w:rsid w:val="007945B6"/>
    <w:rsid w:val="00794F2C"/>
    <w:rsid w:val="00796460"/>
    <w:rsid w:val="007A3BC7"/>
    <w:rsid w:val="007A5402"/>
    <w:rsid w:val="007A5AC4"/>
    <w:rsid w:val="007A78D8"/>
    <w:rsid w:val="007B0FDD"/>
    <w:rsid w:val="007B4802"/>
    <w:rsid w:val="007B632F"/>
    <w:rsid w:val="007B6668"/>
    <w:rsid w:val="007B6B33"/>
    <w:rsid w:val="007C122A"/>
    <w:rsid w:val="007C2701"/>
    <w:rsid w:val="007C4185"/>
    <w:rsid w:val="007C4BC7"/>
    <w:rsid w:val="007C5933"/>
    <w:rsid w:val="007C6C3A"/>
    <w:rsid w:val="007D0BF1"/>
    <w:rsid w:val="007D2192"/>
    <w:rsid w:val="007E07E1"/>
    <w:rsid w:val="007E16B9"/>
    <w:rsid w:val="007E4869"/>
    <w:rsid w:val="007F0021"/>
    <w:rsid w:val="007F0A26"/>
    <w:rsid w:val="007F190E"/>
    <w:rsid w:val="007F2038"/>
    <w:rsid w:val="007F2F52"/>
    <w:rsid w:val="008004CC"/>
    <w:rsid w:val="00801040"/>
    <w:rsid w:val="00801F71"/>
    <w:rsid w:val="00805F28"/>
    <w:rsid w:val="0080749F"/>
    <w:rsid w:val="00810379"/>
    <w:rsid w:val="008113DB"/>
    <w:rsid w:val="008117BE"/>
    <w:rsid w:val="00811D46"/>
    <w:rsid w:val="008125B0"/>
    <w:rsid w:val="008144CB"/>
    <w:rsid w:val="00815685"/>
    <w:rsid w:val="008216DE"/>
    <w:rsid w:val="00821717"/>
    <w:rsid w:val="00824210"/>
    <w:rsid w:val="00825475"/>
    <w:rsid w:val="00825B6A"/>
    <w:rsid w:val="008263C0"/>
    <w:rsid w:val="00834B04"/>
    <w:rsid w:val="00836E79"/>
    <w:rsid w:val="00841422"/>
    <w:rsid w:val="00841D3B"/>
    <w:rsid w:val="0084314C"/>
    <w:rsid w:val="00843171"/>
    <w:rsid w:val="00850840"/>
    <w:rsid w:val="008515F2"/>
    <w:rsid w:val="008575C3"/>
    <w:rsid w:val="00863D28"/>
    <w:rsid w:val="008648C3"/>
    <w:rsid w:val="00866097"/>
    <w:rsid w:val="00875CA1"/>
    <w:rsid w:val="00880F26"/>
    <w:rsid w:val="0088462F"/>
    <w:rsid w:val="00884A2F"/>
    <w:rsid w:val="008861BD"/>
    <w:rsid w:val="00886B7C"/>
    <w:rsid w:val="008934A9"/>
    <w:rsid w:val="00896C2E"/>
    <w:rsid w:val="008A2ABB"/>
    <w:rsid w:val="008A46BE"/>
    <w:rsid w:val="008A5095"/>
    <w:rsid w:val="008A563B"/>
    <w:rsid w:val="008A5B7B"/>
    <w:rsid w:val="008A608F"/>
    <w:rsid w:val="008B1A9A"/>
    <w:rsid w:val="008B1DA8"/>
    <w:rsid w:val="008B4FE6"/>
    <w:rsid w:val="008B6C37"/>
    <w:rsid w:val="008C31A3"/>
    <w:rsid w:val="008C7DDC"/>
    <w:rsid w:val="008D14BC"/>
    <w:rsid w:val="008D1AA8"/>
    <w:rsid w:val="008D2ACA"/>
    <w:rsid w:val="008D2F37"/>
    <w:rsid w:val="008D4A5C"/>
    <w:rsid w:val="008D5779"/>
    <w:rsid w:val="008D5EB1"/>
    <w:rsid w:val="008E18F7"/>
    <w:rsid w:val="008E1E10"/>
    <w:rsid w:val="008E291B"/>
    <w:rsid w:val="008E46D4"/>
    <w:rsid w:val="008E4F2F"/>
    <w:rsid w:val="008E6626"/>
    <w:rsid w:val="008E74B0"/>
    <w:rsid w:val="008F0CFA"/>
    <w:rsid w:val="008F1309"/>
    <w:rsid w:val="008F1A5B"/>
    <w:rsid w:val="009008A8"/>
    <w:rsid w:val="0090168E"/>
    <w:rsid w:val="0090315E"/>
    <w:rsid w:val="009063B0"/>
    <w:rsid w:val="00907053"/>
    <w:rsid w:val="00907106"/>
    <w:rsid w:val="00907C0C"/>
    <w:rsid w:val="009107FD"/>
    <w:rsid w:val="0091137C"/>
    <w:rsid w:val="00911567"/>
    <w:rsid w:val="00917AAE"/>
    <w:rsid w:val="00921E3E"/>
    <w:rsid w:val="009251A9"/>
    <w:rsid w:val="00925E2E"/>
    <w:rsid w:val="00927179"/>
    <w:rsid w:val="00930699"/>
    <w:rsid w:val="00931F69"/>
    <w:rsid w:val="009335C0"/>
    <w:rsid w:val="00934123"/>
    <w:rsid w:val="00935502"/>
    <w:rsid w:val="009357C3"/>
    <w:rsid w:val="00935BCD"/>
    <w:rsid w:val="0094436F"/>
    <w:rsid w:val="00944454"/>
    <w:rsid w:val="00946016"/>
    <w:rsid w:val="00951906"/>
    <w:rsid w:val="009543EA"/>
    <w:rsid w:val="00955774"/>
    <w:rsid w:val="009560B5"/>
    <w:rsid w:val="00961148"/>
    <w:rsid w:val="0096512C"/>
    <w:rsid w:val="009703D6"/>
    <w:rsid w:val="0097045B"/>
    <w:rsid w:val="0097181B"/>
    <w:rsid w:val="00976DC5"/>
    <w:rsid w:val="009775A8"/>
    <w:rsid w:val="009808A0"/>
    <w:rsid w:val="009818C7"/>
    <w:rsid w:val="00982DD4"/>
    <w:rsid w:val="009841E5"/>
    <w:rsid w:val="0098479F"/>
    <w:rsid w:val="00984A8A"/>
    <w:rsid w:val="009857B6"/>
    <w:rsid w:val="00985A8D"/>
    <w:rsid w:val="00986610"/>
    <w:rsid w:val="009877DC"/>
    <w:rsid w:val="00991F96"/>
    <w:rsid w:val="00996F0A"/>
    <w:rsid w:val="009A15FC"/>
    <w:rsid w:val="009A1D86"/>
    <w:rsid w:val="009B049C"/>
    <w:rsid w:val="009B11C8"/>
    <w:rsid w:val="009B1270"/>
    <w:rsid w:val="009B2BCF"/>
    <w:rsid w:val="009B2FF8"/>
    <w:rsid w:val="009B3BF5"/>
    <w:rsid w:val="009B5132"/>
    <w:rsid w:val="009B5199"/>
    <w:rsid w:val="009B5BA3"/>
    <w:rsid w:val="009D0027"/>
    <w:rsid w:val="009D0655"/>
    <w:rsid w:val="009E1E98"/>
    <w:rsid w:val="009E228F"/>
    <w:rsid w:val="009E3ABE"/>
    <w:rsid w:val="009E3C4B"/>
    <w:rsid w:val="009F0411"/>
    <w:rsid w:val="009F0637"/>
    <w:rsid w:val="009F0907"/>
    <w:rsid w:val="009F62A6"/>
    <w:rsid w:val="009F674F"/>
    <w:rsid w:val="009F743D"/>
    <w:rsid w:val="009F799E"/>
    <w:rsid w:val="00A00705"/>
    <w:rsid w:val="00A01290"/>
    <w:rsid w:val="00A016EC"/>
    <w:rsid w:val="00A02020"/>
    <w:rsid w:val="00A056CB"/>
    <w:rsid w:val="00A06988"/>
    <w:rsid w:val="00A07A29"/>
    <w:rsid w:val="00A07D3F"/>
    <w:rsid w:val="00A10FF1"/>
    <w:rsid w:val="00A1506B"/>
    <w:rsid w:val="00A15B6C"/>
    <w:rsid w:val="00A17CB2"/>
    <w:rsid w:val="00A23191"/>
    <w:rsid w:val="00A25261"/>
    <w:rsid w:val="00A26473"/>
    <w:rsid w:val="00A26B04"/>
    <w:rsid w:val="00A26C3D"/>
    <w:rsid w:val="00A27EFB"/>
    <w:rsid w:val="00A319C0"/>
    <w:rsid w:val="00A33560"/>
    <w:rsid w:val="00A364E4"/>
    <w:rsid w:val="00A371A5"/>
    <w:rsid w:val="00A37A7F"/>
    <w:rsid w:val="00A37E5F"/>
    <w:rsid w:val="00A4133D"/>
    <w:rsid w:val="00A43CD2"/>
    <w:rsid w:val="00A44D18"/>
    <w:rsid w:val="00A47BDF"/>
    <w:rsid w:val="00A5108E"/>
    <w:rsid w:val="00A51CD7"/>
    <w:rsid w:val="00A52ADB"/>
    <w:rsid w:val="00A533E8"/>
    <w:rsid w:val="00A542C6"/>
    <w:rsid w:val="00A542D9"/>
    <w:rsid w:val="00A56E64"/>
    <w:rsid w:val="00A61D9D"/>
    <w:rsid w:val="00A624C3"/>
    <w:rsid w:val="00A6488E"/>
    <w:rsid w:val="00A65699"/>
    <w:rsid w:val="00A65E3B"/>
    <w:rsid w:val="00A6641C"/>
    <w:rsid w:val="00A767D2"/>
    <w:rsid w:val="00A77616"/>
    <w:rsid w:val="00A805DA"/>
    <w:rsid w:val="00A811B4"/>
    <w:rsid w:val="00A829BD"/>
    <w:rsid w:val="00A87CDE"/>
    <w:rsid w:val="00A9018A"/>
    <w:rsid w:val="00A90A3B"/>
    <w:rsid w:val="00A92BAF"/>
    <w:rsid w:val="00A94737"/>
    <w:rsid w:val="00A94BA3"/>
    <w:rsid w:val="00A96CBA"/>
    <w:rsid w:val="00A96F1C"/>
    <w:rsid w:val="00AA1313"/>
    <w:rsid w:val="00AA16C8"/>
    <w:rsid w:val="00AA4450"/>
    <w:rsid w:val="00AB1ACD"/>
    <w:rsid w:val="00AB277F"/>
    <w:rsid w:val="00AB4099"/>
    <w:rsid w:val="00AB449A"/>
    <w:rsid w:val="00AB4637"/>
    <w:rsid w:val="00AB7873"/>
    <w:rsid w:val="00AC2830"/>
    <w:rsid w:val="00AC609F"/>
    <w:rsid w:val="00AD1340"/>
    <w:rsid w:val="00AD14F9"/>
    <w:rsid w:val="00AD35D6"/>
    <w:rsid w:val="00AD4782"/>
    <w:rsid w:val="00AD58C5"/>
    <w:rsid w:val="00AE3067"/>
    <w:rsid w:val="00AE36C4"/>
    <w:rsid w:val="00AE472C"/>
    <w:rsid w:val="00AE5375"/>
    <w:rsid w:val="00AE6CF8"/>
    <w:rsid w:val="00AF0074"/>
    <w:rsid w:val="00AF4CAC"/>
    <w:rsid w:val="00B03E0D"/>
    <w:rsid w:val="00B054F8"/>
    <w:rsid w:val="00B05DA1"/>
    <w:rsid w:val="00B06BCA"/>
    <w:rsid w:val="00B15F60"/>
    <w:rsid w:val="00B21BB2"/>
    <w:rsid w:val="00B2219A"/>
    <w:rsid w:val="00B22CDE"/>
    <w:rsid w:val="00B24DDD"/>
    <w:rsid w:val="00B30213"/>
    <w:rsid w:val="00B33715"/>
    <w:rsid w:val="00B3581B"/>
    <w:rsid w:val="00B36B81"/>
    <w:rsid w:val="00B36FEE"/>
    <w:rsid w:val="00B37C80"/>
    <w:rsid w:val="00B43F0A"/>
    <w:rsid w:val="00B5092B"/>
    <w:rsid w:val="00B5194E"/>
    <w:rsid w:val="00B51AF5"/>
    <w:rsid w:val="00B531FC"/>
    <w:rsid w:val="00B54FF9"/>
    <w:rsid w:val="00B55347"/>
    <w:rsid w:val="00B57E5E"/>
    <w:rsid w:val="00B616A7"/>
    <w:rsid w:val="00B61F37"/>
    <w:rsid w:val="00B66A03"/>
    <w:rsid w:val="00B704AC"/>
    <w:rsid w:val="00B72866"/>
    <w:rsid w:val="00B753DA"/>
    <w:rsid w:val="00B7770F"/>
    <w:rsid w:val="00B77A89"/>
    <w:rsid w:val="00B77B27"/>
    <w:rsid w:val="00B8134E"/>
    <w:rsid w:val="00B81B55"/>
    <w:rsid w:val="00B8207F"/>
    <w:rsid w:val="00B84613"/>
    <w:rsid w:val="00B87AF0"/>
    <w:rsid w:val="00B9037B"/>
    <w:rsid w:val="00B906C2"/>
    <w:rsid w:val="00B910BD"/>
    <w:rsid w:val="00B91D6C"/>
    <w:rsid w:val="00B93834"/>
    <w:rsid w:val="00B96469"/>
    <w:rsid w:val="00BA0DA2"/>
    <w:rsid w:val="00BA2981"/>
    <w:rsid w:val="00BA42EE"/>
    <w:rsid w:val="00BA48F9"/>
    <w:rsid w:val="00BB0DCA"/>
    <w:rsid w:val="00BB2666"/>
    <w:rsid w:val="00BB2B38"/>
    <w:rsid w:val="00BB6B80"/>
    <w:rsid w:val="00BB6BA4"/>
    <w:rsid w:val="00BC12DC"/>
    <w:rsid w:val="00BC2B53"/>
    <w:rsid w:val="00BC3773"/>
    <w:rsid w:val="00BC381A"/>
    <w:rsid w:val="00BC7F03"/>
    <w:rsid w:val="00BD0962"/>
    <w:rsid w:val="00BD1EED"/>
    <w:rsid w:val="00BE1F94"/>
    <w:rsid w:val="00BE31BA"/>
    <w:rsid w:val="00BE4486"/>
    <w:rsid w:val="00BE64B2"/>
    <w:rsid w:val="00BF0DA2"/>
    <w:rsid w:val="00BF109C"/>
    <w:rsid w:val="00BF1A20"/>
    <w:rsid w:val="00BF34FA"/>
    <w:rsid w:val="00BF6667"/>
    <w:rsid w:val="00BF7639"/>
    <w:rsid w:val="00C004B6"/>
    <w:rsid w:val="00C02252"/>
    <w:rsid w:val="00C047A7"/>
    <w:rsid w:val="00C05DE5"/>
    <w:rsid w:val="00C06EE5"/>
    <w:rsid w:val="00C146BC"/>
    <w:rsid w:val="00C207B2"/>
    <w:rsid w:val="00C24254"/>
    <w:rsid w:val="00C27A2B"/>
    <w:rsid w:val="00C33027"/>
    <w:rsid w:val="00C35325"/>
    <w:rsid w:val="00C37667"/>
    <w:rsid w:val="00C435DB"/>
    <w:rsid w:val="00C44D73"/>
    <w:rsid w:val="00C50B42"/>
    <w:rsid w:val="00C516FF"/>
    <w:rsid w:val="00C52BFA"/>
    <w:rsid w:val="00C53D1D"/>
    <w:rsid w:val="00C53F26"/>
    <w:rsid w:val="00C540BC"/>
    <w:rsid w:val="00C5441D"/>
    <w:rsid w:val="00C547CC"/>
    <w:rsid w:val="00C64F7D"/>
    <w:rsid w:val="00C67309"/>
    <w:rsid w:val="00C7614E"/>
    <w:rsid w:val="00C77BF1"/>
    <w:rsid w:val="00C80D60"/>
    <w:rsid w:val="00C82FBD"/>
    <w:rsid w:val="00C85267"/>
    <w:rsid w:val="00C8721B"/>
    <w:rsid w:val="00C87F45"/>
    <w:rsid w:val="00C90730"/>
    <w:rsid w:val="00C926FA"/>
    <w:rsid w:val="00C92A79"/>
    <w:rsid w:val="00C9372C"/>
    <w:rsid w:val="00C9470E"/>
    <w:rsid w:val="00C95CEB"/>
    <w:rsid w:val="00C96481"/>
    <w:rsid w:val="00CA04B3"/>
    <w:rsid w:val="00CA0E2E"/>
    <w:rsid w:val="00CA1054"/>
    <w:rsid w:val="00CA63EB"/>
    <w:rsid w:val="00CA69F1"/>
    <w:rsid w:val="00CA7CF2"/>
    <w:rsid w:val="00CB6991"/>
    <w:rsid w:val="00CC5FC0"/>
    <w:rsid w:val="00CC6194"/>
    <w:rsid w:val="00CC6305"/>
    <w:rsid w:val="00CC71AB"/>
    <w:rsid w:val="00CC78A5"/>
    <w:rsid w:val="00CD0516"/>
    <w:rsid w:val="00CD3174"/>
    <w:rsid w:val="00CD72FC"/>
    <w:rsid w:val="00CD756B"/>
    <w:rsid w:val="00CE1B4D"/>
    <w:rsid w:val="00CE734F"/>
    <w:rsid w:val="00CF112E"/>
    <w:rsid w:val="00CF161D"/>
    <w:rsid w:val="00CF2D36"/>
    <w:rsid w:val="00CF5F4F"/>
    <w:rsid w:val="00D0566E"/>
    <w:rsid w:val="00D05992"/>
    <w:rsid w:val="00D0781E"/>
    <w:rsid w:val="00D1226A"/>
    <w:rsid w:val="00D126BB"/>
    <w:rsid w:val="00D13C0D"/>
    <w:rsid w:val="00D15A07"/>
    <w:rsid w:val="00D206BF"/>
    <w:rsid w:val="00D213F5"/>
    <w:rsid w:val="00D218DC"/>
    <w:rsid w:val="00D24E56"/>
    <w:rsid w:val="00D25E47"/>
    <w:rsid w:val="00D25FCD"/>
    <w:rsid w:val="00D26684"/>
    <w:rsid w:val="00D2699E"/>
    <w:rsid w:val="00D31643"/>
    <w:rsid w:val="00D31AEB"/>
    <w:rsid w:val="00D32ECD"/>
    <w:rsid w:val="00D35705"/>
    <w:rsid w:val="00D361E4"/>
    <w:rsid w:val="00D42A8F"/>
    <w:rsid w:val="00D439F6"/>
    <w:rsid w:val="00D459C6"/>
    <w:rsid w:val="00D50729"/>
    <w:rsid w:val="00D50C19"/>
    <w:rsid w:val="00D5379E"/>
    <w:rsid w:val="00D5480D"/>
    <w:rsid w:val="00D57DC2"/>
    <w:rsid w:val="00D62643"/>
    <w:rsid w:val="00D6470F"/>
    <w:rsid w:val="00D64C0F"/>
    <w:rsid w:val="00D655FC"/>
    <w:rsid w:val="00D72EFE"/>
    <w:rsid w:val="00D76227"/>
    <w:rsid w:val="00D77DF1"/>
    <w:rsid w:val="00D84B65"/>
    <w:rsid w:val="00D86AFF"/>
    <w:rsid w:val="00D9332B"/>
    <w:rsid w:val="00D93C2B"/>
    <w:rsid w:val="00D95A44"/>
    <w:rsid w:val="00D95D16"/>
    <w:rsid w:val="00D97C76"/>
    <w:rsid w:val="00DA3A80"/>
    <w:rsid w:val="00DA3F2D"/>
    <w:rsid w:val="00DB02B4"/>
    <w:rsid w:val="00DB1A1C"/>
    <w:rsid w:val="00DB4CD5"/>
    <w:rsid w:val="00DB4D61"/>
    <w:rsid w:val="00DB538D"/>
    <w:rsid w:val="00DC275C"/>
    <w:rsid w:val="00DC4B0D"/>
    <w:rsid w:val="00DC5CB3"/>
    <w:rsid w:val="00DC757F"/>
    <w:rsid w:val="00DC7FE1"/>
    <w:rsid w:val="00DD1E61"/>
    <w:rsid w:val="00DD3F3F"/>
    <w:rsid w:val="00DD5572"/>
    <w:rsid w:val="00DD78D9"/>
    <w:rsid w:val="00DE3780"/>
    <w:rsid w:val="00DE5D80"/>
    <w:rsid w:val="00DE66CE"/>
    <w:rsid w:val="00DF424F"/>
    <w:rsid w:val="00DF58CD"/>
    <w:rsid w:val="00DF65DE"/>
    <w:rsid w:val="00E019A5"/>
    <w:rsid w:val="00E02EC8"/>
    <w:rsid w:val="00E037F5"/>
    <w:rsid w:val="00E04ECB"/>
    <w:rsid w:val="00E05A09"/>
    <w:rsid w:val="00E06CA1"/>
    <w:rsid w:val="00E0721E"/>
    <w:rsid w:val="00E11334"/>
    <w:rsid w:val="00E124D7"/>
    <w:rsid w:val="00E127FC"/>
    <w:rsid w:val="00E13C60"/>
    <w:rsid w:val="00E1503B"/>
    <w:rsid w:val="00E1557F"/>
    <w:rsid w:val="00E172B8"/>
    <w:rsid w:val="00E17B3B"/>
    <w:rsid w:val="00E17FB4"/>
    <w:rsid w:val="00E20B75"/>
    <w:rsid w:val="00E214F2"/>
    <w:rsid w:val="00E21605"/>
    <w:rsid w:val="00E2371E"/>
    <w:rsid w:val="00E2372E"/>
    <w:rsid w:val="00E24BD7"/>
    <w:rsid w:val="00E26523"/>
    <w:rsid w:val="00E26809"/>
    <w:rsid w:val="00E311C6"/>
    <w:rsid w:val="00E3168B"/>
    <w:rsid w:val="00E3412D"/>
    <w:rsid w:val="00E35171"/>
    <w:rsid w:val="00E4285B"/>
    <w:rsid w:val="00E43067"/>
    <w:rsid w:val="00E508EF"/>
    <w:rsid w:val="00E51C15"/>
    <w:rsid w:val="00E57322"/>
    <w:rsid w:val="00E6197A"/>
    <w:rsid w:val="00E628CB"/>
    <w:rsid w:val="00E62AD9"/>
    <w:rsid w:val="00E638C8"/>
    <w:rsid w:val="00E6710E"/>
    <w:rsid w:val="00E6798F"/>
    <w:rsid w:val="00E719A1"/>
    <w:rsid w:val="00E7509B"/>
    <w:rsid w:val="00E7554A"/>
    <w:rsid w:val="00E761A3"/>
    <w:rsid w:val="00E775A9"/>
    <w:rsid w:val="00E8249B"/>
    <w:rsid w:val="00E84E89"/>
    <w:rsid w:val="00E86590"/>
    <w:rsid w:val="00E905A4"/>
    <w:rsid w:val="00E907FF"/>
    <w:rsid w:val="00E92333"/>
    <w:rsid w:val="00E9363D"/>
    <w:rsid w:val="00E972C0"/>
    <w:rsid w:val="00E97E48"/>
    <w:rsid w:val="00EA15CD"/>
    <w:rsid w:val="00EA1E31"/>
    <w:rsid w:val="00EA42D1"/>
    <w:rsid w:val="00EA42EF"/>
    <w:rsid w:val="00EB2DD1"/>
    <w:rsid w:val="00EB5E70"/>
    <w:rsid w:val="00EB6B37"/>
    <w:rsid w:val="00EC2765"/>
    <w:rsid w:val="00EC29FE"/>
    <w:rsid w:val="00EC364E"/>
    <w:rsid w:val="00EC3C70"/>
    <w:rsid w:val="00EC4952"/>
    <w:rsid w:val="00ED1C81"/>
    <w:rsid w:val="00ED257E"/>
    <w:rsid w:val="00ED3A3D"/>
    <w:rsid w:val="00ED538A"/>
    <w:rsid w:val="00ED6FBC"/>
    <w:rsid w:val="00EE13E6"/>
    <w:rsid w:val="00EE2F16"/>
    <w:rsid w:val="00EE3861"/>
    <w:rsid w:val="00EE4388"/>
    <w:rsid w:val="00EE72F9"/>
    <w:rsid w:val="00EF1ADB"/>
    <w:rsid w:val="00EF2E73"/>
    <w:rsid w:val="00EF7683"/>
    <w:rsid w:val="00EF79EA"/>
    <w:rsid w:val="00EF7A2D"/>
    <w:rsid w:val="00F01F4D"/>
    <w:rsid w:val="00F04F8D"/>
    <w:rsid w:val="00F10AD0"/>
    <w:rsid w:val="00F116CC"/>
    <w:rsid w:val="00F11C64"/>
    <w:rsid w:val="00F11E8E"/>
    <w:rsid w:val="00F1216C"/>
    <w:rsid w:val="00F12BD1"/>
    <w:rsid w:val="00F14EC4"/>
    <w:rsid w:val="00F15327"/>
    <w:rsid w:val="00F168CF"/>
    <w:rsid w:val="00F21544"/>
    <w:rsid w:val="00F248AF"/>
    <w:rsid w:val="00F2555C"/>
    <w:rsid w:val="00F31DF3"/>
    <w:rsid w:val="00F33AE5"/>
    <w:rsid w:val="00F3597D"/>
    <w:rsid w:val="00F37DC0"/>
    <w:rsid w:val="00F41E2A"/>
    <w:rsid w:val="00F42A67"/>
    <w:rsid w:val="00F4376D"/>
    <w:rsid w:val="00F45289"/>
    <w:rsid w:val="00F45399"/>
    <w:rsid w:val="00F465EA"/>
    <w:rsid w:val="00F51442"/>
    <w:rsid w:val="00F54E7B"/>
    <w:rsid w:val="00F55A88"/>
    <w:rsid w:val="00F62462"/>
    <w:rsid w:val="00F63A9D"/>
    <w:rsid w:val="00F70622"/>
    <w:rsid w:val="00F74005"/>
    <w:rsid w:val="00F74D93"/>
    <w:rsid w:val="00F76884"/>
    <w:rsid w:val="00F83D24"/>
    <w:rsid w:val="00F83DD9"/>
    <w:rsid w:val="00F83F40"/>
    <w:rsid w:val="00F85096"/>
    <w:rsid w:val="00F9239F"/>
    <w:rsid w:val="00F948A8"/>
    <w:rsid w:val="00F96D5C"/>
    <w:rsid w:val="00F96F11"/>
    <w:rsid w:val="00F978DD"/>
    <w:rsid w:val="00FA117A"/>
    <w:rsid w:val="00FA1EE1"/>
    <w:rsid w:val="00FA2A67"/>
    <w:rsid w:val="00FA785A"/>
    <w:rsid w:val="00FB386A"/>
    <w:rsid w:val="00FB55B4"/>
    <w:rsid w:val="00FC009B"/>
    <w:rsid w:val="00FC058F"/>
    <w:rsid w:val="00FC0786"/>
    <w:rsid w:val="00FC0C4E"/>
    <w:rsid w:val="00FC49EF"/>
    <w:rsid w:val="00FC5CC2"/>
    <w:rsid w:val="00FD5196"/>
    <w:rsid w:val="00FE1953"/>
    <w:rsid w:val="00FE36E2"/>
    <w:rsid w:val="00FF10A5"/>
    <w:rsid w:val="00FF11AD"/>
    <w:rsid w:val="00FF1751"/>
    <w:rsid w:val="00FF2971"/>
    <w:rsid w:val="00FF34D4"/>
    <w:rsid w:val="00FF5099"/>
    <w:rsid w:val="00FF6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B0AECC"/>
  <w15:chartTrackingRefBased/>
  <w15:docId w15:val="{A06E2D1E-7B54-44A8-8C57-661C9FB10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46DC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aliases w:val="Wyliczanie,List Paragraph,BulletC,A_wyliczenie,K-P_odwolanie,Akapit z listą5,maz_wyliczenie,opis dzialania,Table of contents numbered,Numerowanie,Tytuły tabel i wykresów,Akapit z listą 1,L1,T_SZ_List Paragraph,Dot pt,F5 List Paragraph,lp1"/>
    <w:basedOn w:val="Normalny"/>
    <w:link w:val="AkapitzlistZnak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paragraph" w:styleId="Poprawka">
    <w:name w:val="Revision"/>
    <w:hidden/>
    <w:uiPriority w:val="99"/>
    <w:semiHidden/>
    <w:rsid w:val="008113DB"/>
    <w:rPr>
      <w:sz w:val="22"/>
      <w:szCs w:val="22"/>
      <w:lang w:eastAsia="en-US"/>
    </w:rPr>
  </w:style>
  <w:style w:type="table" w:styleId="Zwykatabela2">
    <w:name w:val="Plain Table 2"/>
    <w:basedOn w:val="Standardowy"/>
    <w:uiPriority w:val="42"/>
    <w:rsid w:val="009775A8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character" w:styleId="Nierozpoznanawzmianka">
    <w:name w:val="Unresolved Mention"/>
    <w:uiPriority w:val="99"/>
    <w:semiHidden/>
    <w:unhideWhenUsed/>
    <w:rsid w:val="004416A8"/>
    <w:rPr>
      <w:color w:val="605E5C"/>
      <w:shd w:val="clear" w:color="auto" w:fill="E1DFDD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E97E48"/>
    <w:pPr>
      <w:spacing w:line="360" w:lineRule="auto"/>
      <w:ind w:left="102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AkapitzlistZnak">
    <w:name w:val="Akapit z listą Znak"/>
    <w:aliases w:val="Wyliczanie Znak,List Paragraph Znak,BulletC Znak,A_wyliczenie Znak,K-P_odwolanie Znak,Akapit z listą5 Znak,maz_wyliczenie Znak,opis dzialania Znak,Table of contents numbered Znak,Numerowanie Znak,Tytuły tabel i wykresów Znak,L1 Znak"/>
    <w:link w:val="Akapitzlist"/>
    <w:uiPriority w:val="34"/>
    <w:qFormat/>
    <w:locked/>
    <w:rsid w:val="00277044"/>
    <w:rPr>
      <w:sz w:val="22"/>
      <w:szCs w:val="22"/>
      <w:lang w:eastAsia="en-US"/>
    </w:rPr>
  </w:style>
  <w:style w:type="character" w:customStyle="1" w:styleId="FontStyle17">
    <w:name w:val="Font Style17"/>
    <w:uiPriority w:val="99"/>
    <w:rsid w:val="00277044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dane3Znak">
    <w:name w:val="dane3 Znak"/>
    <w:link w:val="dane3"/>
    <w:locked/>
    <w:rsid w:val="00F74D93"/>
    <w:rPr>
      <w:rFonts w:ascii="Lato" w:hAnsi="Lato"/>
      <w:b/>
      <w:bCs/>
    </w:rPr>
  </w:style>
  <w:style w:type="paragraph" w:customStyle="1" w:styleId="dane3">
    <w:name w:val="dane3"/>
    <w:basedOn w:val="Normalny"/>
    <w:link w:val="dane3Znak"/>
    <w:rsid w:val="00F74D93"/>
    <w:rPr>
      <w:rFonts w:ascii="Lato" w:hAnsi="Lato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4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C297D7-B44F-4D39-9494-94E21CCAE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2780</Words>
  <Characters>16680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Trzeciak Andrzej  (DPK)</dc:creator>
  <cp:keywords/>
  <cp:lastModifiedBy>Izdebska Elwira  (DL)</cp:lastModifiedBy>
  <cp:revision>2</cp:revision>
  <cp:lastPrinted>2025-09-12T08:27:00Z</cp:lastPrinted>
  <dcterms:created xsi:type="dcterms:W3CDTF">2026-01-19T14:17:00Z</dcterms:created>
  <dcterms:modified xsi:type="dcterms:W3CDTF">2026-01-19T14:17:00Z</dcterms:modified>
</cp:coreProperties>
</file>